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620000" cy="1586940"/>
            <wp:docPr id="1" name="Picture 1"/>
            <wp:cNvGraphicFramePr>
              <a:graphicFrameLocks noChangeAspect="1"/>
            </wp:cNvGraphicFramePr>
            <a:graphic>
              <a:graphicData uri="http://schemas.openxmlformats.org/drawingml/2006/picture">
                <pic:pic>
                  <pic:nvPicPr>
                    <pic:cNvPr id="0" name="logo-uned.png"/>
                    <pic:cNvPicPr/>
                  </pic:nvPicPr>
                  <pic:blipFill>
                    <a:blip r:embed="rId11"/>
                    <a:stretch>
                      <a:fillRect/>
                    </a:stretch>
                  </pic:blipFill>
                  <pic:spPr>
                    <a:xfrm>
                      <a:off x="0" y="0"/>
                      <a:ext cx="1620000" cy="1586940"/>
                    </a:xfrm>
                    <a:prstGeom prst="rect"/>
                  </pic:spPr>
                </pic:pic>
              </a:graphicData>
            </a:graphic>
          </wp:inline>
        </w:drawing>
      </w:r>
    </w:p>
    <w:p/>
    <w:p/>
    <w:p>
      <w:pPr>
        <w:spacing w:after="40"/>
        <w:jc w:val="center"/>
      </w:pPr>
      <w:r>
        <w:rPr>
          <w:b/>
          <w:color w:val="555555"/>
          <w:sz w:val="22"/>
        </w:rPr>
        <w:t>DOCUMENTO TÉCNICO</w:t>
      </w:r>
    </w:p>
    <w:p>
      <w:pPr>
        <w:spacing w:after="80"/>
        <w:jc w:val="center"/>
      </w:pPr>
      <w:r>
        <w:rPr>
          <w:b/>
          <w:color w:val="1F3B73"/>
          <w:sz w:val="42"/>
        </w:rPr>
        <w:t>Instrucciones de aplicación e infraestructura del proyecto</w:t>
      </w:r>
    </w:p>
    <w:p>
      <w:pPr>
        <w:spacing w:after="40"/>
        <w:jc w:val="center"/>
      </w:pPr>
      <w:r>
        <w:rPr>
          <w:i/>
          <w:color w:val="1F3B73"/>
          <w:sz w:val="26"/>
        </w:rPr>
        <w:t>Sistema EKG-Python: grafo de conocimiento educativo de programación, GraphRAG y retroalimentación trazable</w:t>
      </w:r>
    </w:p>
    <w:p/>
    <w:p/>
    <w:p/>
    <w:p>
      <w:pPr>
        <w:spacing w:after="40"/>
        <w:jc w:val="center"/>
      </w:pPr>
      <w:r>
        <w:rPr>
          <w:b/>
        </w:rPr>
        <w:t>Máster Universitario en Investigación en Inteligencia Artificial</w:t>
      </w:r>
    </w:p>
    <w:p>
      <w:pPr>
        <w:spacing w:after="40"/>
        <w:jc w:val="center"/>
      </w:pPr>
      <w:r>
        <w:t>Universidad Nacional de Educación a Distancia (UNED)</w:t>
      </w:r>
    </w:p>
    <w:p>
      <w:pPr>
        <w:spacing w:after="40"/>
        <w:jc w:val="center"/>
      </w:pPr>
      <w:r>
        <w:t>ETSI Informática · Departamento de Inteligencia Artificial</w:t>
      </w:r>
    </w:p>
    <w:p>
      <w:pPr>
        <w:spacing w:after="40"/>
        <w:jc w:val="center"/>
      </w:pPr>
    </w:p>
    <w:p>
      <w:pPr>
        <w:spacing w:after="40"/>
        <w:jc w:val="center"/>
      </w:pPr>
      <w:r>
        <w:rPr>
          <w:b/>
        </w:rPr>
        <w:t>Autor:</w:t>
      </w:r>
      <w:r>
        <w:t xml:space="preserve"> Adrián Bueno Junquero</w:t>
      </w:r>
    </w:p>
    <w:p>
      <w:pPr>
        <w:spacing w:after="40"/>
        <w:jc w:val="center"/>
      </w:pPr>
      <w:r>
        <w:rPr>
          <w:b/>
        </w:rPr>
        <w:t>Documento:</w:t>
      </w:r>
      <w:r>
        <w:t xml:space="preserve"> Despliegue institucional e integración docente</w:t>
      </w:r>
    </w:p>
    <w:p>
      <w:pPr>
        <w:spacing w:after="40"/>
        <w:jc w:val="center"/>
      </w:pPr>
      <w:r>
        <w:rPr>
          <w:b/>
        </w:rPr>
        <w:t>Versión:</w:t>
      </w:r>
      <w:r>
        <w:t xml:space="preserve"> 1.0 · Curso académico 2025/2026</w:t>
      </w:r>
    </w:p>
    <w:p>
      <w:r>
        <w:br w:type="page"/>
      </w:r>
    </w:p>
    <w:p>
      <w:pPr>
        <w:pStyle w:val="Heading1"/>
      </w:pPr>
      <w:r>
        <w:t>Índice</w:t>
      </w:r>
    </w:p>
    <w:p>
      <w:pPr>
        <w:spacing w:after="60"/>
        <w:ind w:left="0"/>
      </w:pPr>
      <w:r>
        <w:rPr>
          <w:b/>
          <w:color w:val="1F3B73"/>
        </w:rPr>
        <w:t xml:space="preserve">1.  </w:t>
      </w:r>
      <w:r>
        <w:rPr>
          <w:b/>
        </w:rPr>
        <w:t>Resumen del proyecto y valor docente</w:t>
      </w:r>
    </w:p>
    <w:p>
      <w:pPr>
        <w:spacing w:after="60"/>
        <w:ind w:left="0"/>
      </w:pPr>
      <w:r>
        <w:rPr>
          <w:b/>
          <w:color w:val="1F3B73"/>
        </w:rPr>
        <w:t xml:space="preserve">2.  </w:t>
      </w:r>
      <w:r>
        <w:rPr>
          <w:b/>
        </w:rPr>
        <w:t>Arquitectura de despliegue</w:t>
      </w:r>
    </w:p>
    <w:p>
      <w:pPr>
        <w:spacing w:after="60"/>
        <w:ind w:left="454"/>
      </w:pPr>
      <w:r>
        <w:rPr>
          <w:b w:val="0"/>
          <w:color w:val="1F3B73"/>
        </w:rPr>
        <w:t xml:space="preserve">2.1.  </w:t>
      </w:r>
      <w:r>
        <w:rPr>
          <w:b w:val="0"/>
        </w:rPr>
        <w:t>Componentes del sistema</w:t>
      </w:r>
    </w:p>
    <w:p>
      <w:pPr>
        <w:spacing w:after="60"/>
        <w:ind w:left="454"/>
      </w:pPr>
      <w:r>
        <w:rPr>
          <w:b w:val="0"/>
          <w:color w:val="1F3B73"/>
        </w:rPr>
        <w:t xml:space="preserve">2.2.  </w:t>
      </w:r>
      <w:r>
        <w:rPr>
          <w:b w:val="0"/>
        </w:rPr>
        <w:t>Reparto de responsabilidades: qué aportamos y qué provee la UNED</w:t>
      </w:r>
    </w:p>
    <w:p>
      <w:pPr>
        <w:spacing w:after="60"/>
        <w:ind w:left="454"/>
      </w:pPr>
      <w:r>
        <w:rPr>
          <w:b w:val="0"/>
          <w:color w:val="1F3B73"/>
        </w:rPr>
        <w:t xml:space="preserve">2.3.  </w:t>
      </w:r>
      <w:r>
        <w:rPr>
          <w:b w:val="0"/>
        </w:rPr>
        <w:t>Cómo alojan las universidades los recursos docentes</w:t>
      </w:r>
    </w:p>
    <w:p>
      <w:pPr>
        <w:spacing w:after="60"/>
        <w:ind w:left="0"/>
      </w:pPr>
      <w:r>
        <w:rPr>
          <w:b/>
          <w:color w:val="1F3B73"/>
        </w:rPr>
        <w:t xml:space="preserve">3.  </w:t>
      </w:r>
      <w:r>
        <w:rPr>
          <w:b/>
        </w:rPr>
        <w:t>Pasos de despliegue</w:t>
      </w:r>
    </w:p>
    <w:p>
      <w:pPr>
        <w:spacing w:after="60"/>
        <w:ind w:left="0"/>
      </w:pPr>
      <w:r>
        <w:rPr>
          <w:b/>
          <w:color w:val="1F3B73"/>
        </w:rPr>
        <w:t xml:space="preserve">4.  </w:t>
      </w:r>
      <w:r>
        <w:rPr>
          <w:b/>
        </w:rPr>
        <w:t>Propuesta de integración docente</w:t>
      </w:r>
    </w:p>
    <w:p>
      <w:pPr>
        <w:spacing w:after="60"/>
        <w:ind w:left="454"/>
      </w:pPr>
      <w:r>
        <w:rPr>
          <w:b w:val="0"/>
          <w:color w:val="1F3B73"/>
        </w:rPr>
        <w:t xml:space="preserve">4.1.  </w:t>
      </w:r>
      <w:r>
        <w:rPr>
          <w:b w:val="0"/>
        </w:rPr>
        <w:t>Encaje como módulo, práctica o demostración</w:t>
      </w:r>
    </w:p>
    <w:p>
      <w:pPr>
        <w:spacing w:after="60"/>
        <w:ind w:left="454"/>
      </w:pPr>
      <w:r>
        <w:rPr>
          <w:b w:val="0"/>
          <w:color w:val="1F3B73"/>
        </w:rPr>
        <w:t xml:space="preserve">4.2.  </w:t>
      </w:r>
      <w:r>
        <w:rPr>
          <w:b w:val="0"/>
        </w:rPr>
        <w:t>Actividades para el alumnado</w:t>
      </w:r>
    </w:p>
    <w:p>
      <w:pPr>
        <w:spacing w:after="60"/>
        <w:ind w:left="0"/>
      </w:pPr>
      <w:r>
        <w:rPr>
          <w:b/>
          <w:color w:val="1F3B73"/>
        </w:rPr>
        <w:t xml:space="preserve">5.  </w:t>
      </w:r>
      <w:r>
        <w:rPr>
          <w:b/>
        </w:rPr>
        <w:t>Requisitos, mantenimiento y consideraciones</w:t>
      </w:r>
    </w:p>
    <w:p>
      <w:pPr>
        <w:spacing w:after="60"/>
        <w:ind w:left="454"/>
      </w:pPr>
      <w:r>
        <w:rPr>
          <w:b w:val="0"/>
          <w:color w:val="1F3B73"/>
        </w:rPr>
        <w:t xml:space="preserve">5.1.  </w:t>
      </w:r>
      <w:r>
        <w:rPr>
          <w:b w:val="0"/>
        </w:rPr>
        <w:t>Licencias, datos y privacidad</w:t>
      </w:r>
    </w:p>
    <w:p>
      <w:pPr>
        <w:spacing w:after="60"/>
        <w:ind w:left="454"/>
      </w:pPr>
      <w:r>
        <w:rPr>
          <w:b w:val="0"/>
          <w:color w:val="1F3B73"/>
        </w:rPr>
        <w:t xml:space="preserve">5.2.  </w:t>
      </w:r>
      <w:r>
        <w:rPr>
          <w:b w:val="0"/>
        </w:rPr>
        <w:t>Mantenimiento y operación</w:t>
      </w:r>
    </w:p>
    <w:p>
      <w:r>
        <w:br w:type="page"/>
      </w:r>
    </w:p>
    <w:p>
      <w:pPr>
        <w:pStyle w:val="Heading1"/>
      </w:pPr>
      <w:r>
        <w:t>1. Resumen del proyecto y valor docente</w:t>
      </w:r>
    </w:p>
    <w:p>
      <w:r>
        <w:t xml:space="preserve">EKG-Python es un sistema que combina un </w:t>
      </w:r>
      <w:r>
        <w:rPr>
          <w:b/>
        </w:rPr>
        <w:t>grafo de conocimiento educativo</w:t>
      </w:r>
      <w:r>
        <w:t xml:space="preserve"> sobre programación en lenguaje Python con técnicas de recuperación aumentada sobre grafos (</w:t>
      </w:r>
      <w:r>
        <w:rPr>
          <w:b/>
        </w:rPr>
        <w:t>GraphRAG</w:t>
      </w:r>
      <w:r>
        <w:t xml:space="preserve">) y un mecanismo de </w:t>
      </w:r>
      <w:r>
        <w:rPr>
          <w:b/>
        </w:rPr>
        <w:t>retroalimentación trazable</w:t>
      </w:r>
      <w:r>
        <w:t xml:space="preserve"> para el aprendizaje. En lugar de tratar el conocimiento de programación como texto plano, el sistema lo modela de forma explícita: conceptos (tipos de datos, estructuras de control, funciones, excepciones), errores frecuentes del alumnado, buenas prácticas y las relaciones entre todos ellos quedan representados como entidades y relaciones formales en un grafo RDF consultable mediante SPARQL.</w:t>
      </w:r>
    </w:p>
    <w:p>
      <w:r>
        <w:t xml:space="preserve">Sobre esa base semántica, el componente de GraphRAG permite que un modelo de lenguaje genere retroalimentación apoyándose en hechos recuperados del grafo, de modo que cada explicación que recibe el estudiante puede </w:t>
      </w:r>
      <w:r>
        <w:rPr>
          <w:b/>
        </w:rPr>
        <w:t>vincularse a los nodos y relaciones concretos</w:t>
      </w:r>
      <w:r>
        <w:t xml:space="preserve"> que la justifican. Esa propiedad —la trazabilidad— es la que distingue al sistema de un asistente generativo convencional y la que lo hace especialmente valioso en un contexto educativo.</w:t>
      </w:r>
    </w:p>
    <w:p>
      <w:pPr>
        <w:pStyle w:val="Heading2"/>
      </w:pPr>
      <w:r>
        <w:t>Valor docente</w:t>
      </w:r>
    </w:p>
    <w:p>
      <w:r>
        <w:t>El proyecto aporta valor en el Máster en dos planos complementarios:</w:t>
      </w:r>
    </w:p>
    <w:p>
      <w:pPr>
        <w:pStyle w:val="ListBullet"/>
      </w:pPr>
      <w:r>
        <w:rPr>
          <w:b/>
        </w:rPr>
        <w:t>Como recurso didáctico.</w:t>
      </w:r>
      <w:r>
        <w:t xml:space="preserve"> Ofrece a estudiantes y profesorado un grafo navegable que organiza el conocimiento de programación de forma estructurada, junto con un asistente que explica errores de código apoyándose en ese grafo. Sirve para ilustrar conceptos de programación y, sobre todo, para mostrar cómo se construye y se explota conocimiento formalizado.</w:t>
      </w:r>
    </w:p>
    <w:p>
      <w:pPr>
        <w:pStyle w:val="ListBullet"/>
      </w:pPr>
      <w:r>
        <w:rPr>
          <w:b/>
        </w:rPr>
        <w:t>Como caso de estudio real de Web Semántica y LLMs.</w:t>
      </w:r>
      <w:r>
        <w:t xml:space="preserve"> Reúne en un único sistema extremo a extremo una ontología de dominio, un almacén RDF con endpoint SPARQL, una interfaz de exploración visual del grafo y la integración con un modelo de lenguaje mediante GraphRAG. Es, por tanto, un ejemplo tangible y reproducible de los contenidos teóricos del Máster, no una mera maqueta.</w:t>
      </w:r>
    </w:p>
    <w:p>
      <w:pPr>
        <w:spacing w:before="80" w:after="160"/>
        <w:ind w:left="227" w:right="170"/>
        <w:shd w:val="clear" w:color="auto" w:fill="EEF2FA"/>
        <w:pBdr>
          <w:left w:val="single" w:sz="18" w:space="6" w:color="1F3B73"/>
        </w:pBdr>
      </w:pPr>
      <w:r>
        <w:rPr>
          <w:i/>
          <w:sz w:val="20"/>
        </w:rPr>
        <w:t xml:space="preserve">En síntesis: el sistema permite enseñar </w:t>
      </w:r>
      <w:r>
        <w:rPr>
          <w:b/>
          <w:i/>
          <w:sz w:val="20"/>
        </w:rPr>
        <w:t>con</w:t>
      </w:r>
      <w:r>
        <w:rPr>
          <w:i/>
          <w:sz w:val="20"/>
        </w:rPr>
        <w:t xml:space="preserve"> el grafo (recurso de apoyo al aprendizaje de Python) y enseñar </w:t>
      </w:r>
      <w:r>
        <w:rPr>
          <w:b/>
          <w:i/>
          <w:sz w:val="20"/>
        </w:rPr>
        <w:t>sobre</w:t>
      </w:r>
      <w:r>
        <w:rPr>
          <w:i/>
          <w:sz w:val="20"/>
        </w:rPr>
        <w:t xml:space="preserve"> el grafo (caso real que materializa la unión entre Web Semántica y modelos de lenguaje).</w:t>
      </w:r>
    </w:p>
    <w:p>
      <w:pPr>
        <w:pStyle w:val="Heading1"/>
      </w:pPr>
      <w:r>
        <w:t>2. Arquitectura de despliegue</w:t>
      </w:r>
    </w:p>
    <w:p>
      <w:r>
        <w:t xml:space="preserve">La arquitectura se ha diseñado para ser </w:t>
      </w:r>
      <w:r>
        <w:rPr>
          <w:b/>
        </w:rPr>
        <w:t>modular y de bajo acoplamiento</w:t>
      </w:r>
      <w:r>
        <w:t>: cada componente puede instalarse en una misma máquina o repartirse entre varias, y el único elemento estrictamente necesario para el funcionamiento básico es el almacén RDF con su endpoint SPARQL. El componente de modelo de lenguaje local es opcional y solo se requiere si la institución desea ofrecer la retroalimentación generativa sin depender de servicios externos.</w:t>
      </w:r>
    </w:p>
    <w:p>
      <w:pPr>
        <w:pStyle w:val="Heading2"/>
      </w:pPr>
      <w:r>
        <w:t>2.1. Componentes del sistema</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1928"/>
            <w:shd w:val="clear" w:color="auto" w:fill="1F3B73"/>
          </w:tcPr>
          <w:p>
            <w:pPr>
              <w:spacing w:after="40" w:before="40"/>
            </w:pPr>
            <w:r>
              <w:rPr>
                <w:b/>
                <w:color w:val="FFFFFF"/>
                <w:sz w:val="20"/>
              </w:rPr>
            </w:r>
            <w:r>
              <w:rPr>
                <w:b/>
                <w:color w:val="FFFFFF"/>
                <w:sz w:val="20"/>
              </w:rPr>
              <w:t>Componente</w:t>
            </w:r>
          </w:p>
        </w:tc>
        <w:tc>
          <w:tcPr>
            <w:tcW w:type="dxa" w:w="3175"/>
            <w:shd w:val="clear" w:color="auto" w:fill="1F3B73"/>
          </w:tcPr>
          <w:p>
            <w:pPr>
              <w:spacing w:after="40" w:before="40"/>
            </w:pPr>
            <w:r>
              <w:rPr>
                <w:b/>
                <w:color w:val="FFFFFF"/>
                <w:sz w:val="20"/>
              </w:rPr>
            </w:r>
            <w:r>
              <w:rPr>
                <w:b/>
                <w:color w:val="FFFFFF"/>
                <w:sz w:val="20"/>
              </w:rPr>
              <w:t>Función</w:t>
            </w:r>
          </w:p>
        </w:tc>
        <w:tc>
          <w:tcPr>
            <w:tcW w:type="dxa" w:w="2608"/>
            <w:shd w:val="clear" w:color="auto" w:fill="1F3B73"/>
          </w:tcPr>
          <w:p>
            <w:pPr>
              <w:spacing w:after="40" w:before="40"/>
            </w:pPr>
            <w:r>
              <w:rPr>
                <w:b/>
                <w:color w:val="FFFFFF"/>
                <w:sz w:val="20"/>
              </w:rPr>
            </w:r>
            <w:r>
              <w:rPr>
                <w:b/>
                <w:color w:val="FFFFFF"/>
                <w:sz w:val="20"/>
              </w:rPr>
              <w:t>Tecnología</w:t>
            </w:r>
          </w:p>
        </w:tc>
        <w:tc>
          <w:tcPr>
            <w:tcW w:type="dxa" w:w="1247"/>
            <w:shd w:val="clear" w:color="auto" w:fill="1F3B73"/>
          </w:tcPr>
          <w:p>
            <w:pPr>
              <w:spacing w:after="40" w:before="40"/>
            </w:pPr>
            <w:r>
              <w:rPr>
                <w:b/>
                <w:color w:val="FFFFFF"/>
                <w:sz w:val="20"/>
              </w:rPr>
            </w:r>
            <w:r>
              <w:rPr>
                <w:b/>
                <w:color w:val="FFFFFF"/>
                <w:sz w:val="20"/>
              </w:rPr>
              <w:t>¿Obligatorio?</w:t>
            </w:r>
          </w:p>
        </w:tc>
      </w:tr>
      <w:tr>
        <w:tc>
          <w:tcPr>
            <w:tcW w:type="dxa" w:w="1928"/>
          </w:tcPr>
          <w:p>
            <w:pPr>
              <w:spacing w:after="40" w:before="40"/>
            </w:pPr>
            <w:r>
              <w:rPr>
                <w:sz w:val="20"/>
              </w:rPr>
            </w:r>
            <w:r>
              <w:rPr>
                <w:sz w:val="20"/>
              </w:rPr>
              <w:t>Almacén RDF / triplestore</w:t>
            </w:r>
          </w:p>
        </w:tc>
        <w:tc>
          <w:tcPr>
            <w:tcW w:type="dxa" w:w="3175"/>
          </w:tcPr>
          <w:p>
            <w:pPr>
              <w:spacing w:after="40" w:before="40"/>
            </w:pPr>
            <w:r>
              <w:rPr>
                <w:sz w:val="20"/>
              </w:rPr>
            </w:r>
            <w:r>
              <w:rPr>
                <w:sz w:val="20"/>
              </w:rPr>
              <w:t>Aloja el grafo de conocimiento y sirve el endpoint SPARQL para consultas</w:t>
            </w:r>
          </w:p>
        </w:tc>
        <w:tc>
          <w:tcPr>
            <w:tcW w:type="dxa" w:w="2608"/>
          </w:tcPr>
          <w:p>
            <w:pPr>
              <w:spacing w:after="40" w:before="40"/>
            </w:pPr>
            <w:r>
              <w:rPr>
                <w:sz w:val="20"/>
              </w:rPr>
            </w:r>
            <w:r>
              <w:rPr>
                <w:sz w:val="20"/>
              </w:rPr>
              <w:t>GraphDB (edición Free)</w:t>
            </w:r>
          </w:p>
        </w:tc>
        <w:tc>
          <w:tcPr>
            <w:tcW w:type="dxa" w:w="1247"/>
          </w:tcPr>
          <w:p>
            <w:pPr>
              <w:spacing w:after="40" w:before="40"/>
            </w:pPr>
            <w:r>
              <w:rPr>
                <w:sz w:val="20"/>
              </w:rPr>
            </w:r>
            <w:r>
              <w:rPr>
                <w:sz w:val="20"/>
              </w:rPr>
              <w:t>Sí</w:t>
            </w:r>
          </w:p>
        </w:tc>
      </w:tr>
      <w:tr>
        <w:tc>
          <w:tcPr>
            <w:tcW w:type="dxa" w:w="1928"/>
          </w:tcPr>
          <w:p>
            <w:pPr>
              <w:spacing w:after="40" w:before="40"/>
            </w:pPr>
            <w:r>
              <w:rPr>
                <w:sz w:val="20"/>
              </w:rPr>
            </w:r>
            <w:r>
              <w:rPr>
                <w:sz w:val="20"/>
              </w:rPr>
              <w:t>Grafo de conocimiento</w:t>
            </w:r>
          </w:p>
        </w:tc>
        <w:tc>
          <w:tcPr>
            <w:tcW w:type="dxa" w:w="3175"/>
          </w:tcPr>
          <w:p>
            <w:pPr>
              <w:spacing w:after="40" w:before="40"/>
            </w:pPr>
            <w:r>
              <w:rPr>
                <w:sz w:val="20"/>
              </w:rPr>
            </w:r>
            <w:r>
              <w:rPr>
                <w:sz w:val="20"/>
              </w:rPr>
              <w:t>Ontología y datos del dominio de programación en Python</w:t>
            </w:r>
          </w:p>
        </w:tc>
        <w:tc>
          <w:tcPr>
            <w:tcW w:type="dxa" w:w="2608"/>
          </w:tcPr>
          <w:p>
            <w:pPr>
              <w:spacing w:after="40" w:before="40"/>
            </w:pPr>
            <w:r>
              <w:rPr>
                <w:sz w:val="20"/>
              </w:rPr>
            </w:r>
            <w:r>
              <w:rPr>
                <w:sz w:val="20"/>
              </w:rPr>
              <w:t>RDF/Turtle (.ttl) + OWL/RDFS</w:t>
            </w:r>
          </w:p>
        </w:tc>
        <w:tc>
          <w:tcPr>
            <w:tcW w:type="dxa" w:w="1247"/>
          </w:tcPr>
          <w:p>
            <w:pPr>
              <w:spacing w:after="40" w:before="40"/>
            </w:pPr>
            <w:r>
              <w:rPr>
                <w:sz w:val="20"/>
              </w:rPr>
            </w:r>
            <w:r>
              <w:rPr>
                <w:sz w:val="20"/>
              </w:rPr>
              <w:t>Sí</w:t>
            </w:r>
          </w:p>
        </w:tc>
      </w:tr>
      <w:tr>
        <w:tc>
          <w:tcPr>
            <w:tcW w:type="dxa" w:w="1928"/>
          </w:tcPr>
          <w:p>
            <w:pPr>
              <w:spacing w:after="40" w:before="40"/>
            </w:pPr>
            <w:r>
              <w:rPr>
                <w:sz w:val="20"/>
              </w:rPr>
            </w:r>
            <w:r>
              <w:rPr>
                <w:sz w:val="20"/>
              </w:rPr>
              <w:t>Sitio web</w:t>
            </w:r>
          </w:p>
        </w:tc>
        <w:tc>
          <w:tcPr>
            <w:tcW w:type="dxa" w:w="3175"/>
          </w:tcPr>
          <w:p>
            <w:pPr>
              <w:spacing w:after="40" w:before="40"/>
            </w:pPr>
            <w:r>
              <w:rPr>
                <w:sz w:val="20"/>
              </w:rPr>
            </w:r>
            <w:r>
              <w:rPr>
                <w:sz w:val="20"/>
              </w:rPr>
              <w:t>Interfaz de exploración del grafo y consulta de retroalimentación</w:t>
            </w:r>
          </w:p>
        </w:tc>
        <w:tc>
          <w:tcPr>
            <w:tcW w:type="dxa" w:w="2608"/>
          </w:tcPr>
          <w:p>
            <w:pPr>
              <w:spacing w:after="40" w:before="40"/>
            </w:pPr>
            <w:r>
              <w:rPr>
                <w:sz w:val="20"/>
              </w:rPr>
            </w:r>
            <w:r>
              <w:rPr>
                <w:sz w:val="20"/>
              </w:rPr>
              <w:t>FastAPI (backend) + Cytoscape.js (visualización)</w:t>
            </w:r>
          </w:p>
        </w:tc>
        <w:tc>
          <w:tcPr>
            <w:tcW w:type="dxa" w:w="1247"/>
          </w:tcPr>
          <w:p>
            <w:pPr>
              <w:spacing w:after="40" w:before="40"/>
            </w:pPr>
            <w:r>
              <w:rPr>
                <w:sz w:val="20"/>
              </w:rPr>
            </w:r>
            <w:r>
              <w:rPr>
                <w:sz w:val="20"/>
              </w:rPr>
              <w:t>Sí</w:t>
            </w:r>
          </w:p>
        </w:tc>
      </w:tr>
      <w:tr>
        <w:tc>
          <w:tcPr>
            <w:tcW w:type="dxa" w:w="1928"/>
          </w:tcPr>
          <w:p>
            <w:pPr>
              <w:spacing w:after="40" w:before="40"/>
            </w:pPr>
            <w:r>
              <w:rPr>
                <w:sz w:val="20"/>
              </w:rPr>
            </w:r>
            <w:r>
              <w:rPr>
                <w:sz w:val="20"/>
              </w:rPr>
              <w:t>Servidor de modelo local</w:t>
            </w:r>
          </w:p>
        </w:tc>
        <w:tc>
          <w:tcPr>
            <w:tcW w:type="dxa" w:w="3175"/>
          </w:tcPr>
          <w:p>
            <w:pPr>
              <w:spacing w:after="40" w:before="40"/>
            </w:pPr>
            <w:r>
              <w:rPr>
                <w:sz w:val="20"/>
              </w:rPr>
            </w:r>
            <w:r>
              <w:rPr>
                <w:sz w:val="20"/>
              </w:rPr>
              <w:t>Genera la retroalimentación mediante GraphRAG sin servicios externos</w:t>
            </w:r>
          </w:p>
        </w:tc>
        <w:tc>
          <w:tcPr>
            <w:tcW w:type="dxa" w:w="2608"/>
          </w:tcPr>
          <w:p>
            <w:pPr>
              <w:spacing w:after="40" w:before="40"/>
            </w:pPr>
            <w:r>
              <w:rPr>
                <w:sz w:val="20"/>
              </w:rPr>
            </w:r>
            <w:r>
              <w:rPr>
                <w:sz w:val="20"/>
              </w:rPr>
              <w:t>Ollama (con o sin GPU)</w:t>
            </w:r>
          </w:p>
        </w:tc>
        <w:tc>
          <w:tcPr>
            <w:tcW w:type="dxa" w:w="1247"/>
          </w:tcPr>
          <w:p>
            <w:pPr>
              <w:spacing w:after="40" w:before="40"/>
            </w:pPr>
            <w:r>
              <w:rPr>
                <w:sz w:val="20"/>
              </w:rPr>
            </w:r>
            <w:r>
              <w:rPr>
                <w:sz w:val="20"/>
              </w:rPr>
              <w:t>Opcional</w:t>
            </w:r>
          </w:p>
        </w:tc>
      </w:tr>
    </w:tbl>
    <w:p>
      <w:pPr>
        <w:spacing w:after="40"/>
      </w:pPr>
    </w:p>
    <w:p>
      <w:r>
        <w:t>El flujo de funcionamiento es directo: el sitio web recibe la consulta del usuario (una pregunta o un fragmento de código), recupera del endpoint SPARQL los hechos pertinentes del grafo y, si está habilitado el modelo local, los pasa a Ollama para redactar una explicación trazable; la visualización con Cytoscape.js permite, en paralelo, navegar el subgrafo implicado.</w:t>
      </w:r>
    </w:p>
    <w:p>
      <w:pPr>
        <w:pStyle w:val="Heading2"/>
      </w:pPr>
      <w:r>
        <w:t>2.2. Reparto de responsabilidades: qué aportamos y qué provee la UNED</w:t>
      </w:r>
    </w:p>
    <w:p>
      <w:r>
        <w:t xml:space="preserve">Para evitar ambigüedades en la planificación, conviene separar con claridad los </w:t>
      </w:r>
      <w:r>
        <w:rPr>
          <w:b/>
        </w:rPr>
        <w:t>entregables del proyecto</w:t>
      </w:r>
      <w:r>
        <w:t xml:space="preserve"> (que ya preparamos y entregamos listos) de los </w:t>
      </w:r>
      <w:r>
        <w:rPr>
          <w:b/>
        </w:rPr>
        <w:t>recursos de infraestructura</w:t>
      </w:r>
      <w:r>
        <w:t xml:space="preserve"> que corresponde proveer a la Universidad a través de su servicio de informática.</w:t>
      </w:r>
    </w:p>
    <w:tbl>
      <w:tblPr>
        <w:tblStyle w:val="LightGrid-Accent1"/>
        <w:tblW w:type="auto" w:w="0"/>
        <w:jc w:val="center"/>
        <w:tblLook w:firstColumn="1" w:firstRow="1" w:lastColumn="0" w:lastRow="0" w:noHBand="0" w:noVBand="1" w:val="04A0"/>
      </w:tblPr>
      <w:tblGrid>
        <w:gridCol w:w="4320"/>
        <w:gridCol w:w="4320"/>
      </w:tblGrid>
      <w:tr>
        <w:tc>
          <w:tcPr>
            <w:tcW w:type="dxa" w:w="4479"/>
            <w:shd w:val="clear" w:color="auto" w:fill="1F3B73"/>
          </w:tcPr>
          <w:p>
            <w:pPr>
              <w:spacing w:after="40" w:before="40"/>
            </w:pPr>
            <w:r>
              <w:rPr>
                <w:b/>
                <w:color w:val="FFFFFF"/>
                <w:sz w:val="20"/>
              </w:rPr>
            </w:r>
            <w:r>
              <w:rPr>
                <w:b/>
                <w:color w:val="FFFFFF"/>
                <w:sz w:val="20"/>
              </w:rPr>
              <w:t>Lo que aportamos nosotros</w:t>
            </w:r>
          </w:p>
        </w:tc>
        <w:tc>
          <w:tcPr>
            <w:tcW w:type="dxa" w:w="4479"/>
            <w:shd w:val="clear" w:color="auto" w:fill="1F3B73"/>
          </w:tcPr>
          <w:p>
            <w:pPr>
              <w:spacing w:after="40" w:before="40"/>
            </w:pPr>
            <w:r>
              <w:rPr>
                <w:b/>
                <w:color w:val="FFFFFF"/>
                <w:sz w:val="20"/>
              </w:rPr>
            </w:r>
            <w:r>
              <w:rPr>
                <w:b/>
                <w:color w:val="FFFFFF"/>
                <w:sz w:val="20"/>
              </w:rPr>
              <w:t>Lo que provee la UNED</w:t>
            </w:r>
          </w:p>
        </w:tc>
      </w:tr>
      <w:tr>
        <w:tc>
          <w:tcPr>
            <w:tcW w:type="dxa" w:w="4479"/>
          </w:tcPr>
          <w:p>
            <w:pPr>
              <w:spacing w:after="40" w:before="40"/>
            </w:pPr>
            <w:r>
              <w:rPr>
                <w:sz w:val="20"/>
              </w:rPr>
            </w:r>
            <w:r>
              <w:rPr>
                <w:sz w:val="20"/>
              </w:rPr>
              <w:t>La ontología y el grafo de conocimiento (.ttl) ya poblado y validado</w:t>
            </w:r>
          </w:p>
        </w:tc>
        <w:tc>
          <w:tcPr>
            <w:tcW w:type="dxa" w:w="4479"/>
          </w:tcPr>
          <w:p>
            <w:pPr>
              <w:spacing w:after="40" w:before="40"/>
            </w:pPr>
            <w:r>
              <w:rPr>
                <w:sz w:val="20"/>
              </w:rPr>
            </w:r>
            <w:r>
              <w:rPr>
                <w:sz w:val="20"/>
              </w:rPr>
              <w:t>Un servidor Linux (físico o máquina virtual) con acceso de administración</w:t>
            </w:r>
          </w:p>
        </w:tc>
      </w:tr>
      <w:tr>
        <w:tc>
          <w:tcPr>
            <w:tcW w:type="dxa" w:w="4479"/>
          </w:tcPr>
          <w:p>
            <w:pPr>
              <w:spacing w:after="40" w:before="40"/>
            </w:pPr>
            <w:r>
              <w:rPr>
                <w:sz w:val="20"/>
              </w:rPr>
            </w:r>
            <w:r>
              <w:rPr>
                <w:sz w:val="20"/>
              </w:rPr>
              <w:t>El sitio web completo (FastAPI + Cytoscape.js) y sus recursos estáticos</w:t>
            </w:r>
          </w:p>
        </w:tc>
        <w:tc>
          <w:tcPr>
            <w:tcW w:type="dxa" w:w="4479"/>
          </w:tcPr>
          <w:p>
            <w:pPr>
              <w:spacing w:after="40" w:before="40"/>
            </w:pPr>
            <w:r>
              <w:rPr>
                <w:sz w:val="20"/>
              </w:rPr>
            </w:r>
            <w:r>
              <w:rPr>
                <w:sz w:val="20"/>
              </w:rPr>
              <w:t>Un nombre de dominio o subdominio institucional y, en su caso, certificado TLS</w:t>
            </w:r>
          </w:p>
        </w:tc>
      </w:tr>
      <w:tr>
        <w:tc>
          <w:tcPr>
            <w:tcW w:type="dxa" w:w="4479"/>
          </w:tcPr>
          <w:p>
            <w:pPr>
              <w:spacing w:after="40" w:before="40"/>
            </w:pPr>
            <w:r>
              <w:rPr>
                <w:sz w:val="20"/>
              </w:rPr>
            </w:r>
            <w:r>
              <w:rPr>
                <w:sz w:val="20"/>
              </w:rPr>
              <w:t>Los scripts de instalación, carga del grafo y arranque de servicios</w:t>
            </w:r>
          </w:p>
        </w:tc>
        <w:tc>
          <w:tcPr>
            <w:tcW w:type="dxa" w:w="4479"/>
          </w:tcPr>
          <w:p>
            <w:pPr>
              <w:spacing w:after="40" w:before="40"/>
            </w:pPr>
            <w:r>
              <w:rPr>
                <w:sz w:val="20"/>
              </w:rPr>
            </w:r>
            <w:r>
              <w:rPr>
                <w:sz w:val="20"/>
              </w:rPr>
              <w:t>Los recursos de cómputo (CPU, RAM, disco) y, si se desea el modelo local, GPU</w:t>
            </w:r>
          </w:p>
        </w:tc>
      </w:tr>
      <w:tr>
        <w:tc>
          <w:tcPr>
            <w:tcW w:type="dxa" w:w="4479"/>
          </w:tcPr>
          <w:p>
            <w:pPr>
              <w:spacing w:after="40" w:before="40"/>
            </w:pPr>
            <w:r>
              <w:rPr>
                <w:sz w:val="20"/>
              </w:rPr>
            </w:r>
            <w:r>
              <w:rPr>
                <w:sz w:val="20"/>
              </w:rPr>
              <w:t>La configuración base de GraphDB, FastAPI y Ollama (ficheros y parámetros)</w:t>
            </w:r>
          </w:p>
        </w:tc>
        <w:tc>
          <w:tcPr>
            <w:tcW w:type="dxa" w:w="4479"/>
          </w:tcPr>
          <w:p>
            <w:pPr>
              <w:spacing w:after="40" w:before="40"/>
            </w:pPr>
            <w:r>
              <w:rPr>
                <w:sz w:val="20"/>
              </w:rPr>
            </w:r>
            <w:r>
              <w:rPr>
                <w:sz w:val="20"/>
              </w:rPr>
              <w:t>La conectividad de red, las reglas de cortafuegos y las copias de seguridad</w:t>
            </w:r>
          </w:p>
        </w:tc>
      </w:tr>
      <w:tr>
        <w:tc>
          <w:tcPr>
            <w:tcW w:type="dxa" w:w="4479"/>
          </w:tcPr>
          <w:p>
            <w:pPr>
              <w:spacing w:after="40" w:before="40"/>
            </w:pPr>
            <w:r>
              <w:rPr>
                <w:sz w:val="20"/>
              </w:rPr>
            </w:r>
            <w:r>
              <w:rPr>
                <w:sz w:val="20"/>
              </w:rPr>
              <w:t>La documentación técnica y este manual de despliegue</w:t>
            </w:r>
          </w:p>
        </w:tc>
        <w:tc>
          <w:tcPr>
            <w:tcW w:type="dxa" w:w="4479"/>
          </w:tcPr>
          <w:p>
            <w:pPr>
              <w:spacing w:after="40" w:before="40"/>
            </w:pPr>
            <w:r>
              <w:rPr>
                <w:sz w:val="20"/>
              </w:rPr>
            </w:r>
            <w:r>
              <w:rPr>
                <w:sz w:val="20"/>
              </w:rPr>
              <w:t>Las cuentas de acceso y la autorización para publicar en la red de la Universidad</w:t>
            </w:r>
          </w:p>
        </w:tc>
      </w:tr>
    </w:tbl>
    <w:p>
      <w:pPr>
        <w:spacing w:after="40"/>
      </w:pPr>
    </w:p>
    <w:p>
      <w:pPr>
        <w:spacing w:before="80" w:after="160"/>
        <w:ind w:left="227" w:right="170"/>
        <w:shd w:val="clear" w:color="auto" w:fill="EEF2FA"/>
        <w:pBdr>
          <w:left w:val="single" w:sz="18" w:space="6" w:color="1F3B73"/>
        </w:pBdr>
      </w:pPr>
      <w:r>
        <w:rPr>
          <w:b/>
          <w:i/>
          <w:sz w:val="20"/>
        </w:rPr>
        <w:t>Importante:</w:t>
      </w:r>
      <w:r>
        <w:rPr>
          <w:i/>
          <w:sz w:val="20"/>
        </w:rPr>
        <w:t xml:space="preserve"> nuestro papel se limita a preparar y entregar la infraestructura software lista para desplegar. La provisión del servidor, el dominio y los recursos de cómputo, así como las decisiones sobre ubicación y políticas de seguridad, corresponden al servicio de informática de la UNED, con quien se confirmarán los detalles concretos antes del despliegue.</w:t>
      </w:r>
    </w:p>
    <w:p>
      <w:pPr>
        <w:pStyle w:val="Heading2"/>
      </w:pPr>
      <w:r>
        <w:t>2.3. Cómo alojan las universidades los recursos docentes</w:t>
      </w:r>
    </w:p>
    <w:p>
      <w:r>
        <w:t>Las universidades españolas disponen, de forma generalizada, de servicios centralizados de informática que ofrecen alojamiento de servidores para docencia e investigación. Las modalidades habituales, que sirven de referencia realista para este proyecto, son las siguientes:</w:t>
      </w:r>
    </w:p>
    <w:p>
      <w:pPr>
        <w:pStyle w:val="ListBullet"/>
      </w:pPr>
      <w:r>
        <w:rPr>
          <w:b/>
        </w:rPr>
        <w:t>Máquina virtual institucional (hosting).</w:t>
      </w:r>
      <w:r>
        <w:t xml:space="preserve"> El servicio de informática crea una máquina virtual sobre su propia infraestructura con las especificaciones acordadas. Las configuraciones por defecto suelen partir de 2 CPU virtuales, 2 GB de RAM y varias decenas o centenas de GB de disco, ampliables bajo petición; es la opción más común y la más adecuada para EKG-Python.</w:t>
      </w:r>
    </w:p>
    <w:p>
      <w:pPr>
        <w:pStyle w:val="ListBullet"/>
      </w:pPr>
      <w:r>
        <w:rPr>
          <w:b/>
        </w:rPr>
        <w:t>Alojamiento físico (housing).</w:t>
      </w:r>
      <w:r>
        <w:t xml:space="preserve"> La Universidad acoge en su centro de proceso de datos un equipo proporcionado por el proyecto, con suministro eléctrico protegido y conexión a la red en una subred aislada. Es útil cuando se requiere hardware específico, como una GPU dedicada.</w:t>
      </w:r>
    </w:p>
    <w:p>
      <w:pPr>
        <w:pStyle w:val="ListBullet"/>
      </w:pPr>
      <w:r>
        <w:rPr>
          <w:b/>
        </w:rPr>
        <w:t>Hosting de sitios web institucionales.</w:t>
      </w:r>
      <w:r>
        <w:t xml:space="preserve"> Para componentes estáticos o de poca carga, muchos servicios ofrecen espacio web bajo dominio institucional, adecuado para publicar la interfaz si se separa del backend.</w:t>
      </w:r>
    </w:p>
    <w:p>
      <w:pPr>
        <w:pStyle w:val="ListBullet"/>
      </w:pPr>
      <w:r>
        <w:rPr>
          <w:b/>
        </w:rPr>
        <w:t>Infraestructura de cómputo y GPU compartida.</w:t>
      </w:r>
      <w:r>
        <w:t xml:space="preserve"> Para cargas con modelos de lenguaje, es frecuente el acceso a recursos de cómputo compartidos o a escritorios y servidores virtuales con GPU, gestionados por el servicio de informática y reservables por proyecto o asignatura.</w:t>
      </w:r>
    </w:p>
    <w:p>
      <w:r>
        <w:t xml:space="preserve">En la práctica, la configuración recomendada para EKG-Python es una </w:t>
      </w:r>
      <w:r>
        <w:rPr>
          <w:b/>
        </w:rPr>
        <w:t>máquina virtual Linux institucional</w:t>
      </w:r>
      <w:r>
        <w:t xml:space="preserve"> que aloje GraphDB y el sitio web, con la posibilidad de añadir una GPU —dedicada o compartida— únicamente si se activa el modelo local con Ollama. Los detalles concretos (tipo de servidor, dimensionamiento, dominio y políticas de respaldo y seguridad) </w:t>
      </w:r>
      <w:r>
        <w:rPr>
          <w:b/>
        </w:rPr>
        <w:t>se confirmarán con el servicio de informática de la UNED</w:t>
      </w:r>
      <w:r>
        <w:t>, pues dependen de su catálogo de servicios y de sus normas internas.</w:t>
      </w:r>
    </w:p>
    <w:p>
      <w:pPr>
        <w:pStyle w:val="Heading1"/>
      </w:pPr>
      <w:r>
        <w:t>3. Pasos de despliegue</w:t>
      </w:r>
    </w:p>
    <w:p>
      <w:r>
        <w:t>Los pasos siguientes son concretos y reproducibles sobre un servidor Linux estándar (por ejemplo, Ubuntu Server LTS). Asumen acceso por línea de comandos con permisos de administración y conectividad de red. Los puertos indicados pueden ajustarse a las normas de la institución.</w:t>
      </w:r>
    </w:p>
    <w:tbl>
      <w:tblPr>
        <w:tblStyle w:val="LightGrid-Accent1"/>
        <w:tblW w:type="auto" w:w="0"/>
        <w:jc w:val="center"/>
        <w:tblLook w:firstColumn="1" w:firstRow="1" w:lastColumn="0" w:lastRow="0" w:noHBand="0" w:noVBand="1" w:val="04A0"/>
      </w:tblPr>
      <w:tblGrid>
        <w:gridCol w:w="2880"/>
        <w:gridCol w:w="2880"/>
        <w:gridCol w:w="2880"/>
      </w:tblGrid>
      <w:tr>
        <w:tc>
          <w:tcPr>
            <w:tcW w:type="dxa" w:w="2041"/>
            <w:shd w:val="clear" w:color="auto" w:fill="1F3B73"/>
          </w:tcPr>
          <w:p>
            <w:pPr>
              <w:spacing w:after="40" w:before="40"/>
            </w:pPr>
            <w:r>
              <w:rPr>
                <w:b/>
                <w:color w:val="FFFFFF"/>
                <w:sz w:val="20"/>
              </w:rPr>
            </w:r>
            <w:r>
              <w:rPr>
                <w:b/>
                <w:color w:val="FFFFFF"/>
                <w:sz w:val="20"/>
              </w:rPr>
              <w:t>Fase</w:t>
            </w:r>
          </w:p>
        </w:tc>
        <w:tc>
          <w:tcPr>
            <w:tcW w:type="dxa" w:w="3628"/>
            <w:shd w:val="clear" w:color="auto" w:fill="1F3B73"/>
          </w:tcPr>
          <w:p>
            <w:pPr>
              <w:spacing w:after="40" w:before="40"/>
            </w:pPr>
            <w:r>
              <w:rPr>
                <w:b/>
                <w:color w:val="FFFFFF"/>
                <w:sz w:val="20"/>
              </w:rPr>
            </w:r>
            <w:r>
              <w:rPr>
                <w:b/>
                <w:color w:val="FFFFFF"/>
                <w:sz w:val="20"/>
              </w:rPr>
              <w:t>Objetivo</w:t>
            </w:r>
          </w:p>
        </w:tc>
        <w:tc>
          <w:tcPr>
            <w:tcW w:type="dxa" w:w="3288"/>
            <w:shd w:val="clear" w:color="auto" w:fill="1F3B73"/>
          </w:tcPr>
          <w:p>
            <w:pPr>
              <w:spacing w:after="40" w:before="40"/>
            </w:pPr>
            <w:r>
              <w:rPr>
                <w:b/>
                <w:color w:val="FFFFFF"/>
                <w:sz w:val="20"/>
              </w:rPr>
            </w:r>
            <w:r>
              <w:rPr>
                <w:b/>
                <w:color w:val="FFFFFF"/>
                <w:sz w:val="20"/>
              </w:rPr>
              <w:t>Resultado esperado</w:t>
            </w:r>
          </w:p>
        </w:tc>
      </w:tr>
      <w:tr>
        <w:tc>
          <w:tcPr>
            <w:tcW w:type="dxa" w:w="2041"/>
          </w:tcPr>
          <w:p>
            <w:pPr>
              <w:spacing w:after="40" w:before="40"/>
            </w:pPr>
            <w:r>
              <w:rPr>
                <w:sz w:val="20"/>
              </w:rPr>
            </w:r>
            <w:r>
              <w:rPr>
                <w:sz w:val="20"/>
              </w:rPr>
              <w:t>1. Preparar el servidor</w:t>
            </w:r>
          </w:p>
        </w:tc>
        <w:tc>
          <w:tcPr>
            <w:tcW w:type="dxa" w:w="3628"/>
          </w:tcPr>
          <w:p>
            <w:pPr>
              <w:spacing w:after="40" w:before="40"/>
            </w:pPr>
            <w:r>
              <w:rPr>
                <w:sz w:val="20"/>
              </w:rPr>
            </w:r>
            <w:r>
              <w:rPr>
                <w:sz w:val="20"/>
              </w:rPr>
              <w:t>Dejar la máquina lista (sistema, Java, usuario de servicio)</w:t>
            </w:r>
          </w:p>
        </w:tc>
        <w:tc>
          <w:tcPr>
            <w:tcW w:type="dxa" w:w="3288"/>
          </w:tcPr>
          <w:p>
            <w:pPr>
              <w:spacing w:after="40" w:before="40"/>
            </w:pPr>
            <w:r>
              <w:rPr>
                <w:sz w:val="20"/>
              </w:rPr>
            </w:r>
            <w:r>
              <w:rPr>
                <w:sz w:val="20"/>
              </w:rPr>
              <w:t>Servidor Linux operativo con Java 21+</w:t>
            </w:r>
          </w:p>
        </w:tc>
      </w:tr>
      <w:tr>
        <w:tc>
          <w:tcPr>
            <w:tcW w:type="dxa" w:w="2041"/>
          </w:tcPr>
          <w:p>
            <w:pPr>
              <w:spacing w:after="40" w:before="40"/>
            </w:pPr>
            <w:r>
              <w:rPr>
                <w:sz w:val="20"/>
              </w:rPr>
            </w:r>
            <w:r>
              <w:rPr>
                <w:sz w:val="20"/>
              </w:rPr>
              <w:t>2. Instalar GraphDB</w:t>
            </w:r>
          </w:p>
        </w:tc>
        <w:tc>
          <w:tcPr>
            <w:tcW w:type="dxa" w:w="3628"/>
          </w:tcPr>
          <w:p>
            <w:pPr>
              <w:spacing w:after="40" w:before="40"/>
            </w:pPr>
            <w:r>
              <w:rPr>
                <w:sz w:val="20"/>
              </w:rPr>
            </w:r>
            <w:r>
              <w:rPr>
                <w:sz w:val="20"/>
              </w:rPr>
              <w:t>Desplegar el triplestore</w:t>
            </w:r>
          </w:p>
        </w:tc>
        <w:tc>
          <w:tcPr>
            <w:tcW w:type="dxa" w:w="3288"/>
          </w:tcPr>
          <w:p>
            <w:pPr>
              <w:spacing w:after="40" w:before="40"/>
            </w:pPr>
            <w:r>
              <w:rPr>
                <w:sz w:val="20"/>
              </w:rPr>
            </w:r>
            <w:r>
              <w:rPr>
                <w:sz w:val="20"/>
              </w:rPr>
              <w:t>Workbench accesible en el puerto 7200</w:t>
            </w:r>
          </w:p>
        </w:tc>
      </w:tr>
      <w:tr>
        <w:tc>
          <w:tcPr>
            <w:tcW w:type="dxa" w:w="2041"/>
          </w:tcPr>
          <w:p>
            <w:pPr>
              <w:spacing w:after="40" w:before="40"/>
            </w:pPr>
            <w:r>
              <w:rPr>
                <w:sz w:val="20"/>
              </w:rPr>
            </w:r>
            <w:r>
              <w:rPr>
                <w:sz w:val="20"/>
              </w:rPr>
              <w:t>3. Cargar el grafo (.ttl)</w:t>
            </w:r>
          </w:p>
        </w:tc>
        <w:tc>
          <w:tcPr>
            <w:tcW w:type="dxa" w:w="3628"/>
          </w:tcPr>
          <w:p>
            <w:pPr>
              <w:spacing w:after="40" w:before="40"/>
            </w:pPr>
            <w:r>
              <w:rPr>
                <w:sz w:val="20"/>
              </w:rPr>
            </w:r>
            <w:r>
              <w:rPr>
                <w:sz w:val="20"/>
              </w:rPr>
              <w:t>Poblar el repositorio con la ontología y los datos</w:t>
            </w:r>
          </w:p>
        </w:tc>
        <w:tc>
          <w:tcPr>
            <w:tcW w:type="dxa" w:w="3288"/>
          </w:tcPr>
          <w:p>
            <w:pPr>
              <w:spacing w:after="40" w:before="40"/>
            </w:pPr>
            <w:r>
              <w:rPr>
                <w:sz w:val="20"/>
              </w:rPr>
            </w:r>
            <w:r>
              <w:rPr>
                <w:sz w:val="20"/>
              </w:rPr>
              <w:t>Grafo importado y consultable</w:t>
            </w:r>
          </w:p>
        </w:tc>
      </w:tr>
      <w:tr>
        <w:tc>
          <w:tcPr>
            <w:tcW w:type="dxa" w:w="2041"/>
          </w:tcPr>
          <w:p>
            <w:pPr>
              <w:spacing w:after="40" w:before="40"/>
            </w:pPr>
            <w:r>
              <w:rPr>
                <w:sz w:val="20"/>
              </w:rPr>
            </w:r>
            <w:r>
              <w:rPr>
                <w:sz w:val="20"/>
              </w:rPr>
              <w:t>4. Exponer el endpoint SPARQL</w:t>
            </w:r>
          </w:p>
        </w:tc>
        <w:tc>
          <w:tcPr>
            <w:tcW w:type="dxa" w:w="3628"/>
          </w:tcPr>
          <w:p>
            <w:pPr>
              <w:spacing w:after="40" w:before="40"/>
            </w:pPr>
            <w:r>
              <w:rPr>
                <w:sz w:val="20"/>
              </w:rPr>
            </w:r>
            <w:r>
              <w:rPr>
                <w:sz w:val="20"/>
              </w:rPr>
              <w:t>Publicar el punto de consulta</w:t>
            </w:r>
          </w:p>
        </w:tc>
        <w:tc>
          <w:tcPr>
            <w:tcW w:type="dxa" w:w="3288"/>
          </w:tcPr>
          <w:p>
            <w:pPr>
              <w:spacing w:after="40" w:before="40"/>
            </w:pPr>
            <w:r>
              <w:rPr>
                <w:sz w:val="20"/>
              </w:rPr>
            </w:r>
            <w:r>
              <w:rPr>
                <w:sz w:val="20"/>
              </w:rPr>
              <w:t>Endpoint SPARQL estable y protegido</w:t>
            </w:r>
          </w:p>
        </w:tc>
      </w:tr>
      <w:tr>
        <w:tc>
          <w:tcPr>
            <w:tcW w:type="dxa" w:w="2041"/>
          </w:tcPr>
          <w:p>
            <w:pPr>
              <w:spacing w:after="40" w:before="40"/>
            </w:pPr>
            <w:r>
              <w:rPr>
                <w:sz w:val="20"/>
              </w:rPr>
            </w:r>
            <w:r>
              <w:rPr>
                <w:sz w:val="20"/>
              </w:rPr>
              <w:t>5. Publicar el sitio web</w:t>
            </w:r>
          </w:p>
        </w:tc>
        <w:tc>
          <w:tcPr>
            <w:tcW w:type="dxa" w:w="3628"/>
          </w:tcPr>
          <w:p>
            <w:pPr>
              <w:spacing w:after="40" w:before="40"/>
            </w:pPr>
            <w:r>
              <w:rPr>
                <w:sz w:val="20"/>
              </w:rPr>
            </w:r>
            <w:r>
              <w:rPr>
                <w:sz w:val="20"/>
              </w:rPr>
              <w:t>Levantar FastAPI + Cytoscape.js</w:t>
            </w:r>
          </w:p>
        </w:tc>
        <w:tc>
          <w:tcPr>
            <w:tcW w:type="dxa" w:w="3288"/>
          </w:tcPr>
          <w:p>
            <w:pPr>
              <w:spacing w:after="40" w:before="40"/>
            </w:pPr>
            <w:r>
              <w:rPr>
                <w:sz w:val="20"/>
              </w:rPr>
            </w:r>
            <w:r>
              <w:rPr>
                <w:sz w:val="20"/>
              </w:rPr>
              <w:t>Interfaz accesible vía dominio institucional</w:t>
            </w:r>
          </w:p>
        </w:tc>
      </w:tr>
      <w:tr>
        <w:tc>
          <w:tcPr>
            <w:tcW w:type="dxa" w:w="2041"/>
          </w:tcPr>
          <w:p>
            <w:pPr>
              <w:spacing w:after="40" w:before="40"/>
            </w:pPr>
            <w:r>
              <w:rPr>
                <w:sz w:val="20"/>
              </w:rPr>
            </w:r>
            <w:r>
              <w:rPr>
                <w:sz w:val="20"/>
              </w:rPr>
              <w:t>6. (Opcional) Modelo local</w:t>
            </w:r>
          </w:p>
        </w:tc>
        <w:tc>
          <w:tcPr>
            <w:tcW w:type="dxa" w:w="3628"/>
          </w:tcPr>
          <w:p>
            <w:pPr>
              <w:spacing w:after="40" w:before="40"/>
            </w:pPr>
            <w:r>
              <w:rPr>
                <w:sz w:val="20"/>
              </w:rPr>
            </w:r>
            <w:r>
              <w:rPr>
                <w:sz w:val="20"/>
              </w:rPr>
              <w:t>Activar la retroalimentación generativa</w:t>
            </w:r>
          </w:p>
        </w:tc>
        <w:tc>
          <w:tcPr>
            <w:tcW w:type="dxa" w:w="3288"/>
          </w:tcPr>
          <w:p>
            <w:pPr>
              <w:spacing w:after="40" w:before="40"/>
            </w:pPr>
            <w:r>
              <w:rPr>
                <w:sz w:val="20"/>
              </w:rPr>
            </w:r>
            <w:r>
              <w:rPr>
                <w:sz w:val="20"/>
              </w:rPr>
              <w:t>Ollama sirviendo el modelo</w:t>
            </w:r>
          </w:p>
        </w:tc>
      </w:tr>
    </w:tbl>
    <w:p>
      <w:pPr>
        <w:spacing w:after="40"/>
      </w:pPr>
    </w:p>
    <w:p>
      <w:pPr>
        <w:pStyle w:val="Heading3"/>
      </w:pPr>
      <w:r>
        <w:t>Paso 1. Preparar el servidor</w:t>
      </w:r>
    </w:p>
    <w:p>
      <w:r>
        <w:t>Actualizar el sistema, instalar Java 21 (requisito de GraphDB) y crear un usuario de servicio dedicado:</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sudo apt update &amp;&amp; sudo apt upgrade -y</w:t>
        <w:br/>
      </w:r>
      <w:r>
        <w:rPr>
          <w:rFonts w:ascii="Consolas" w:hAnsi="Consolas" w:cs="Consolas"/>
          <w:rFonts w:ascii="Consolas" w:hAnsi="Consolas"/>
          <w:sz w:val="18"/>
        </w:rPr>
        <w:t>sudo apt install -y openjdk-21-jre-headless unzip curl</w:t>
        <w:br/>
      </w:r>
      <w:r>
        <w:rPr>
          <w:rFonts w:ascii="Consolas" w:hAnsi="Consolas" w:cs="Consolas"/>
          <w:rFonts w:ascii="Consolas" w:hAnsi="Consolas"/>
          <w:sz w:val="18"/>
        </w:rPr>
        <w:t>sudo useradd -r -m -d /opt/ekg -s /usr/sbin/nologin ekg</w:t>
        <w:br/>
      </w:r>
      <w:r>
        <w:rPr>
          <w:rFonts w:ascii="Consolas" w:hAnsi="Consolas" w:cs="Consolas"/>
          <w:rFonts w:ascii="Consolas" w:hAnsi="Consolas"/>
          <w:sz w:val="18"/>
        </w:rPr>
        <w:t>java -version   # comprobar que es 21 o superior</w:t>
      </w:r>
    </w:p>
    <w:p>
      <w:pPr>
        <w:pStyle w:val="Heading3"/>
      </w:pPr>
      <w:r>
        <w:t>Paso 2. Instalar GraphDB</w:t>
      </w:r>
    </w:p>
    <w:p>
      <w:r>
        <w:t>Descomprimir la distribución de GraphDB y arrancarla como servicio. Tras el arranque, el Workbench queda disponible en el puerto 7200:</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sudo unzip graphdb-desktop-*.zip -d /opt/ekg/graphdb</w:t>
        <w:br/>
      </w:r>
      <w:r>
        <w:rPr>
          <w:rFonts w:ascii="Consolas" w:hAnsi="Consolas" w:cs="Consolas"/>
          <w:rFonts w:ascii="Consolas" w:hAnsi="Consolas"/>
          <w:sz w:val="18"/>
        </w:rPr>
        <w:t># arranque manual para verificar</w:t>
        <w:br/>
      </w:r>
      <w:r>
        <w:rPr>
          <w:rFonts w:ascii="Consolas" w:hAnsi="Consolas" w:cs="Consolas"/>
          <w:rFonts w:ascii="Consolas" w:hAnsi="Consolas"/>
          <w:sz w:val="18"/>
        </w:rPr>
        <w:t>/opt/ekg/graphdb/bin/graphdb</w:t>
        <w:br/>
      </w:r>
      <w:r>
        <w:rPr>
          <w:rFonts w:ascii="Consolas" w:hAnsi="Consolas" w:cs="Consolas"/>
          <w:rFonts w:ascii="Consolas" w:hAnsi="Consolas"/>
          <w:sz w:val="18"/>
        </w:rPr>
        <w:t># Workbench: http://SERVIDOR:7200/</w:t>
      </w:r>
    </w:p>
    <w:p>
      <w:r>
        <w:t>Para producción conviene registrarlo como servicio del sistema (systemd) para que se inicie automáticamente y se gestione con journalctl.</w:t>
      </w:r>
    </w:p>
    <w:p>
      <w:pPr>
        <w:pStyle w:val="Heading3"/>
      </w:pPr>
      <w:r>
        <w:t>Paso 3. Cargar el grafo (.ttl)</w:t>
      </w:r>
    </w:p>
    <w:p>
      <w:r>
        <w:t>Crear un repositorio en GraphDB e importar el fichero Turtle entregado. La carga puede hacerse desde el Workbench o vía HTTP con cURL:</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curl -X POST \</w:t>
        <w:br/>
      </w:r>
      <w:r>
        <w:rPr>
          <w:rFonts w:ascii="Consolas" w:hAnsi="Consolas" w:cs="Consolas"/>
          <w:rFonts w:ascii="Consolas" w:hAnsi="Consolas"/>
          <w:sz w:val="18"/>
        </w:rPr>
        <w:t xml:space="preserve">  -H 'Content-Type: application/x-turtle' \</w:t>
        <w:br/>
      </w:r>
      <w:r>
        <w:rPr>
          <w:rFonts w:ascii="Consolas" w:hAnsi="Consolas" w:cs="Consolas"/>
          <w:rFonts w:ascii="Consolas" w:hAnsi="Consolas"/>
          <w:sz w:val="18"/>
        </w:rPr>
        <w:t xml:space="preserve">  --data-binary @ekg-python.ttl \</w:t>
        <w:br/>
      </w:r>
      <w:r>
        <w:rPr>
          <w:rFonts w:ascii="Consolas" w:hAnsi="Consolas" w:cs="Consolas"/>
          <w:rFonts w:ascii="Consolas" w:hAnsi="Consolas"/>
          <w:sz w:val="18"/>
        </w:rPr>
        <w:t xml:space="preserve">  http://SERVIDOR:7200/repositories/ekg/statements</w:t>
      </w:r>
    </w:p>
    <w:p>
      <w:pPr>
        <w:pStyle w:val="Heading3"/>
      </w:pPr>
      <w:r>
        <w:t>Paso 4. Exponer el endpoint SPARQL</w:t>
      </w:r>
    </w:p>
    <w:p>
      <w:r>
        <w:t>El endpoint queda servido por GraphDB en la ruta del repositorio. Se recomienda dejarlo en modo de solo lectura para el público y colocarlo tras un proxy inverso con TLS:</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 Endpoint de consulta (lectura):</w:t>
        <w:br/>
      </w:r>
      <w:r>
        <w:rPr>
          <w:rFonts w:ascii="Consolas" w:hAnsi="Consolas" w:cs="Consolas"/>
          <w:rFonts w:ascii="Consolas" w:hAnsi="Consolas"/>
          <w:sz w:val="18"/>
        </w:rPr>
        <w:t>http://SERVIDOR:7200/repositories/ekg</w:t>
        <w:br/>
      </w:r>
      <w:r>
        <w:rPr>
          <w:rFonts w:ascii="Consolas" w:hAnsi="Consolas" w:cs="Consolas"/>
          <w:rFonts w:ascii="Consolas" w:hAnsi="Consolas"/>
          <w:sz w:val="18"/>
        </w:rPr>
        <w:t># Prueba rápida:</w:t>
        <w:br/>
      </w:r>
      <w:r>
        <w:rPr>
          <w:rFonts w:ascii="Consolas" w:hAnsi="Consolas" w:cs="Consolas"/>
          <w:rFonts w:ascii="Consolas" w:hAnsi="Consolas"/>
          <w:sz w:val="18"/>
        </w:rPr>
        <w:t>curl -s 'http://SERVIDOR:7200/repositories/ekg' \</w:t>
        <w:br/>
      </w:r>
      <w:r>
        <w:rPr>
          <w:rFonts w:ascii="Consolas" w:hAnsi="Consolas" w:cs="Consolas"/>
          <w:rFonts w:ascii="Consolas" w:hAnsi="Consolas"/>
          <w:sz w:val="18"/>
        </w:rPr>
        <w:t xml:space="preserve">  --data-urlencode 'query=SELECT * WHERE { ?s ?p ?o } LIMIT 5' \</w:t>
        <w:br/>
      </w:r>
      <w:r>
        <w:rPr>
          <w:rFonts w:ascii="Consolas" w:hAnsi="Consolas" w:cs="Consolas"/>
          <w:rFonts w:ascii="Consolas" w:hAnsi="Consolas"/>
          <w:sz w:val="18"/>
        </w:rPr>
        <w:t xml:space="preserve">  -H 'Accept: application/sparql-results+json'</w:t>
      </w:r>
    </w:p>
    <w:p>
      <w:pPr>
        <w:pStyle w:val="Heading3"/>
      </w:pPr>
      <w:r>
        <w:t>Paso 5. Publicar el sitio web</w:t>
      </w:r>
    </w:p>
    <w:p>
      <w:r>
        <w:t>Instalar las dependencias del backend FastAPI y servirlo con un servidor ASGI; la visualización con Cytoscape.js se entrega como recursos estáticos. Conviene situarlo tras un proxy inverso (Nginx) bajo el dominio institucional:</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cd /opt/ekg/sitio</w:t>
        <w:br/>
      </w:r>
      <w:r>
        <w:rPr>
          <w:rFonts w:ascii="Consolas" w:hAnsi="Consolas" w:cs="Consolas"/>
          <w:rFonts w:ascii="Consolas" w:hAnsi="Consolas"/>
          <w:sz w:val="18"/>
        </w:rPr>
        <w:t>python3 -m venv .venv &amp;&amp; source .venv/bin/activate</w:t>
        <w:br/>
      </w:r>
      <w:r>
        <w:rPr>
          <w:rFonts w:ascii="Consolas" w:hAnsi="Consolas" w:cs="Consolas"/>
          <w:rFonts w:ascii="Consolas" w:hAnsi="Consolas"/>
          <w:sz w:val="18"/>
        </w:rPr>
        <w:t>pip install -r requirements.txt</w:t>
        <w:br/>
      </w:r>
      <w:r>
        <w:rPr>
          <w:rFonts w:ascii="Consolas" w:hAnsi="Consolas" w:cs="Consolas"/>
          <w:rFonts w:ascii="Consolas" w:hAnsi="Consolas"/>
          <w:sz w:val="18"/>
        </w:rPr>
        <w:t># variable de entorno con el endpoint SPARQL</w:t>
        <w:br/>
      </w:r>
      <w:r>
        <w:rPr>
          <w:rFonts w:ascii="Consolas" w:hAnsi="Consolas" w:cs="Consolas"/>
          <w:rFonts w:ascii="Consolas" w:hAnsi="Consolas"/>
          <w:sz w:val="18"/>
        </w:rPr>
        <w:t>export SPARQL_ENDPOINT='http://localhost:7200/repositories/ekg'</w:t>
        <w:br/>
      </w:r>
      <w:r>
        <w:rPr>
          <w:rFonts w:ascii="Consolas" w:hAnsi="Consolas" w:cs="Consolas"/>
          <w:rFonts w:ascii="Consolas" w:hAnsi="Consolas"/>
          <w:sz w:val="18"/>
        </w:rPr>
        <w:t>uvicorn app:app --host 0.0.0.0 --port 8000</w:t>
      </w:r>
    </w:p>
    <w:p>
      <w:pPr>
        <w:pStyle w:val="Heading3"/>
      </w:pPr>
      <w:r>
        <w:t>Paso 6. (Opcional) Activar el modelo local con Ollama</w:t>
      </w:r>
    </w:p>
    <w:p>
      <w:r>
        <w:t>Solo si se desea la retroalimentación generativa autónoma. Ollama funciona con CPU, aunque una GPU acelera notablemente la inferencia:</w:t>
      </w:r>
    </w:p>
    <w:p>
      <w:pPr>
        <w:spacing w:before="120" w:after="120" w:line="240" w:lineRule="auto"/>
        <w:ind w:left="283" w:right="170"/>
        <w:jc w:val="left"/>
        <w:shd w:val="clear" w:color="auto" w:fill="F4F4F4"/>
        <w:pBdr>
          <w:top w:val="single" w:sz="4" w:space="4" w:color="D0D0D0"/>
          <w:bottom w:val="single" w:sz="4" w:space="4" w:color="D0D0D0"/>
          <w:left w:val="single" w:sz="4" w:space="4" w:color="D0D0D0"/>
          <w:right w:val="single" w:sz="4" w:space="4" w:color="D0D0D0"/>
        </w:pBdr>
      </w:pPr>
      <w:r>
        <w:rPr>
          <w:rFonts w:ascii="Consolas" w:hAnsi="Consolas" w:cs="Consolas"/>
          <w:rFonts w:ascii="Consolas" w:hAnsi="Consolas"/>
          <w:sz w:val="18"/>
        </w:rPr>
        <w:t>curl -fsSL https://ollama.com/install.sh | sh</w:t>
        <w:br/>
      </w:r>
      <w:r>
        <w:rPr>
          <w:rFonts w:ascii="Consolas" w:hAnsi="Consolas" w:cs="Consolas"/>
          <w:rFonts w:ascii="Consolas" w:hAnsi="Consolas"/>
          <w:sz w:val="18"/>
        </w:rPr>
        <w:t>ollama pull &lt;modelo-de-codigo&gt;</w:t>
        <w:br/>
      </w:r>
      <w:r>
        <w:rPr>
          <w:rFonts w:ascii="Consolas" w:hAnsi="Consolas" w:cs="Consolas"/>
          <w:rFonts w:ascii="Consolas" w:hAnsi="Consolas"/>
          <w:sz w:val="18"/>
        </w:rPr>
        <w:t>ollama serve   # expone la API local en el puerto 11434</w:t>
        <w:br/>
      </w:r>
      <w:r>
        <w:rPr>
          <w:rFonts w:ascii="Consolas" w:hAnsi="Consolas" w:cs="Consolas"/>
          <w:rFonts w:ascii="Consolas" w:hAnsi="Consolas"/>
          <w:sz w:val="18"/>
        </w:rPr>
        <w:t># el sitio se configura para apuntar a esta API</w:t>
      </w:r>
    </w:p>
    <w:p>
      <w:pPr>
        <w:spacing w:before="80" w:after="160"/>
        <w:ind w:left="227" w:right="170"/>
        <w:shd w:val="clear" w:color="auto" w:fill="EEF2FA"/>
        <w:pBdr>
          <w:left w:val="single" w:sz="18" w:space="6" w:color="1F3B73"/>
        </w:pBdr>
      </w:pPr>
      <w:r>
        <w:rPr>
          <w:i/>
          <w:sz w:val="20"/>
        </w:rPr>
        <w:t>Cada paso es independiente: el sistema es plenamente funcional para la exploración del grafo y la consulta SPARQL tras el paso 5, aun sin el modelo local del paso 6.</w:t>
      </w:r>
    </w:p>
    <w:p>
      <w:pPr>
        <w:pStyle w:val="Heading1"/>
      </w:pPr>
      <w:r>
        <w:t>4. Propuesta de integración docente</w:t>
      </w:r>
    </w:p>
    <w:p>
      <w:r>
        <w:t xml:space="preserve">Esta sección plantea </w:t>
      </w:r>
      <w:r>
        <w:rPr>
          <w:b/>
        </w:rPr>
        <w:t>posibilidades</w:t>
      </w:r>
      <w:r>
        <w:t xml:space="preserve"> de uso académico del sistema. Conviene subrayar, antes de detallarlas, que la decisión sobre en qué asignatura y con qué alcance se integra el proyecto </w:t>
      </w:r>
      <w:r>
        <w:rPr>
          <w:b/>
        </w:rPr>
        <w:t>corresponde al director del trabajo y al equipo docente</w:t>
      </w:r>
      <w:r>
        <w:t xml:space="preserve"> del Máster. Nuestra aportación se circunscribe a preparar y entregar la infraestructura lista para usarse; las opciones que siguen son orientativas.</w:t>
      </w:r>
    </w:p>
    <w:p>
      <w:pPr>
        <w:pStyle w:val="Heading2"/>
      </w:pPr>
      <w:r>
        <w:t>4.1. Encaje como módulo, práctica o demostración</w:t>
      </w:r>
    </w:p>
    <w:p>
      <w:r>
        <w:t>Según el grado de implicación que decida el equipo docente, el sistema puede incorporarse en tres formatos:</w:t>
      </w:r>
    </w:p>
    <w:p>
      <w:pPr>
        <w:pStyle w:val="ListBullet"/>
      </w:pPr>
      <w:r>
        <w:rPr>
          <w:b/>
        </w:rPr>
        <w:t>Demostración guiada (sesión única).</w:t>
      </w:r>
      <w:r>
        <w:t xml:space="preserve"> El profesorado presenta el sistema en vivo: navega el grafo, lanza consultas SPARQL y muestra cómo se genera retroalimentación trazable. Requiere mínima preparación y sirve como ilustración de los contenidos.</w:t>
      </w:r>
    </w:p>
    <w:p>
      <w:pPr>
        <w:pStyle w:val="ListBullet"/>
      </w:pPr>
      <w:r>
        <w:rPr>
          <w:b/>
        </w:rPr>
        <w:t>Práctica de laboratorio (una o varias sesiones).</w:t>
      </w:r>
      <w:r>
        <w:t xml:space="preserve"> El alumnado interactúa directamente con el endpoint y la interfaz, resolviendo ejercicios de consulta y exploración. Es el formato con mejor relación entre esfuerzo y aprendizaje.</w:t>
      </w:r>
    </w:p>
    <w:p>
      <w:pPr>
        <w:pStyle w:val="ListBullet"/>
      </w:pPr>
      <w:r>
        <w:rPr>
          <w:b/>
        </w:rPr>
        <w:t>Módulo o proyecto evaluable.</w:t>
      </w:r>
      <w:r>
        <w:t xml:space="preserve"> El sistema se usa como base de un trabajo más amplio (extender la ontología, añadir consultas, comparar estrategias de RAG), integrándose en la evaluación de la asignatura.</w:t>
      </w:r>
    </w:p>
    <w:p>
      <w:r>
        <w:t>En cuanto a la asignatura de acogida, y siempre a criterio del equipo docente, el proyecto encaja de forma natural en varias materias del Máster:</w:t>
      </w:r>
    </w:p>
    <w:tbl>
      <w:tblPr>
        <w:tblStyle w:val="LightGrid-Accent1"/>
        <w:tblW w:type="auto" w:w="0"/>
        <w:jc w:val="center"/>
        <w:tblLook w:firstColumn="1" w:firstRow="1" w:lastColumn="0" w:lastRow="0" w:noHBand="0" w:noVBand="1" w:val="04A0"/>
      </w:tblPr>
      <w:tblGrid>
        <w:gridCol w:w="4320"/>
        <w:gridCol w:w="4320"/>
      </w:tblGrid>
      <w:tr>
        <w:tc>
          <w:tcPr>
            <w:tcW w:type="dxa" w:w="3175"/>
            <w:shd w:val="clear" w:color="auto" w:fill="1F3B73"/>
          </w:tcPr>
          <w:p>
            <w:pPr>
              <w:spacing w:after="40" w:before="40"/>
            </w:pPr>
            <w:r>
              <w:rPr>
                <w:b/>
                <w:color w:val="FFFFFF"/>
                <w:sz w:val="20"/>
              </w:rPr>
            </w:r>
            <w:r>
              <w:rPr>
                <w:b/>
                <w:color w:val="FFFFFF"/>
                <w:sz w:val="20"/>
              </w:rPr>
              <w:t>Asignatura (orientativa)</w:t>
            </w:r>
          </w:p>
        </w:tc>
        <w:tc>
          <w:tcPr>
            <w:tcW w:type="dxa" w:w="5783"/>
            <w:shd w:val="clear" w:color="auto" w:fill="1F3B73"/>
          </w:tcPr>
          <w:p>
            <w:pPr>
              <w:spacing w:after="40" w:before="40"/>
            </w:pPr>
            <w:r>
              <w:rPr>
                <w:b/>
                <w:color w:val="FFFFFF"/>
                <w:sz w:val="20"/>
              </w:rPr>
            </w:r>
            <w:r>
              <w:rPr>
                <w:b/>
                <w:color w:val="FFFFFF"/>
                <w:sz w:val="20"/>
              </w:rPr>
              <w:t>Aspecto del sistema que ilustra</w:t>
            </w:r>
          </w:p>
        </w:tc>
      </w:tr>
      <w:tr>
        <w:tc>
          <w:tcPr>
            <w:tcW w:type="dxa" w:w="3175"/>
          </w:tcPr>
          <w:p>
            <w:pPr>
              <w:spacing w:after="40" w:before="40"/>
            </w:pPr>
            <w:r>
              <w:rPr>
                <w:sz w:val="20"/>
              </w:rPr>
            </w:r>
            <w:r>
              <w:rPr>
                <w:sz w:val="20"/>
              </w:rPr>
              <w:t>Web Semántica y Enlazado de Datos</w:t>
            </w:r>
          </w:p>
        </w:tc>
        <w:tc>
          <w:tcPr>
            <w:tcW w:type="dxa" w:w="5783"/>
          </w:tcPr>
          <w:p>
            <w:pPr>
              <w:spacing w:after="40" w:before="40"/>
            </w:pPr>
            <w:r>
              <w:rPr>
                <w:sz w:val="20"/>
              </w:rPr>
            </w:r>
            <w:r>
              <w:rPr>
                <w:sz w:val="20"/>
              </w:rPr>
              <w:t>Ontología, RDF/Turtle, consultas SPARQL y publicación de un endpoint; es el encaje más directo</w:t>
            </w:r>
          </w:p>
        </w:tc>
      </w:tr>
      <w:tr>
        <w:tc>
          <w:tcPr>
            <w:tcW w:type="dxa" w:w="3175"/>
          </w:tcPr>
          <w:p>
            <w:pPr>
              <w:spacing w:after="40" w:before="40"/>
            </w:pPr>
            <w:r>
              <w:rPr>
                <w:sz w:val="20"/>
              </w:rPr>
            </w:r>
            <w:r>
              <w:rPr>
                <w:sz w:val="20"/>
              </w:rPr>
              <w:t>Métodos de Aprendizaje Automático</w:t>
            </w:r>
          </w:p>
        </w:tc>
        <w:tc>
          <w:tcPr>
            <w:tcW w:type="dxa" w:w="5783"/>
          </w:tcPr>
          <w:p>
            <w:pPr>
              <w:spacing w:after="40" w:before="40"/>
            </w:pPr>
            <w:r>
              <w:rPr>
                <w:sz w:val="20"/>
              </w:rPr>
            </w:r>
            <w:r>
              <w:rPr>
                <w:sz w:val="20"/>
              </w:rPr>
              <w:t>Integración de un modelo de lenguaje y la arquitectura GraphRAG sobre conocimiento estructurado</w:t>
            </w:r>
          </w:p>
        </w:tc>
      </w:tr>
      <w:tr>
        <w:tc>
          <w:tcPr>
            <w:tcW w:type="dxa" w:w="3175"/>
          </w:tcPr>
          <w:p>
            <w:pPr>
              <w:spacing w:after="40" w:before="40"/>
            </w:pPr>
            <w:r>
              <w:rPr>
                <w:sz w:val="20"/>
              </w:rPr>
            </w:r>
            <w:r>
              <w:rPr>
                <w:sz w:val="20"/>
              </w:rPr>
              <w:t>Sistemas Inteligentes</w:t>
            </w:r>
          </w:p>
        </w:tc>
        <w:tc>
          <w:tcPr>
            <w:tcW w:type="dxa" w:w="5783"/>
          </w:tcPr>
          <w:p>
            <w:pPr>
              <w:spacing w:after="40" w:before="40"/>
            </w:pPr>
            <w:r>
              <w:rPr>
                <w:sz w:val="20"/>
              </w:rPr>
            </w:r>
            <w:r>
              <w:rPr>
                <w:sz w:val="20"/>
              </w:rPr>
              <w:t>Visión de sistema extremo a extremo: representación del conocimiento, razonamiento y retroalimentación al usuario</w:t>
            </w:r>
          </w:p>
        </w:tc>
      </w:tr>
    </w:tbl>
    <w:p>
      <w:pPr>
        <w:spacing w:after="40"/>
      </w:pPr>
    </w:p>
    <w:p>
      <w:pPr>
        <w:spacing w:before="80" w:after="160"/>
        <w:ind w:left="227" w:right="170"/>
        <w:shd w:val="clear" w:color="auto" w:fill="EEF2FA"/>
        <w:pBdr>
          <w:left w:val="single" w:sz="18" w:space="6" w:color="1F3B73"/>
        </w:pBdr>
      </w:pPr>
      <w:r>
        <w:rPr>
          <w:i/>
          <w:sz w:val="20"/>
        </w:rPr>
        <w:t>La tabla anterior es una sugerencia. La elección final de la asignatura, el formato y la carga de trabajo es competencia del director y del equipo docente; el proyecto se entrega preparado para adaptarse a cualquiera de estas opciones.</w:t>
      </w:r>
    </w:p>
    <w:p>
      <w:pPr>
        <w:pStyle w:val="Heading2"/>
      </w:pPr>
      <w:r>
        <w:t>4.2. Actividades para el alumnado</w:t>
      </w:r>
    </w:p>
    <w:p>
      <w:r>
        <w:t>A modo de ejemplo, estas actividades pueden plantearse directamente sobre el sistema desplegado, con dificultad creciente:</w:t>
      </w:r>
    </w:p>
    <w:p>
      <w:pPr>
        <w:pStyle w:val="ListNumber"/>
      </w:pPr>
      <w:r>
        <w:rPr>
          <w:b/>
        </w:rPr>
        <w:t>Consultas SPARQL básicas.</w:t>
      </w:r>
      <w:r>
        <w:t xml:space="preserve"> Recuperar todos los conceptos de un tema (por ejemplo, las estructuras de control) y los errores asociados a cada uno, familiarizándose con la sintaxis SELECT/WHERE.</w:t>
      </w:r>
    </w:p>
    <w:p>
      <w:pPr>
        <w:pStyle w:val="ListNumber"/>
      </w:pPr>
      <w:r>
        <w:rPr>
          <w:b/>
        </w:rPr>
        <w:t>Exploración visual del grafo.</w:t>
      </w:r>
      <w:r>
        <w:t xml:space="preserve"> Usar la interfaz de Cytoscape.js para navegar desde un concepto hasta sus errores frecuentes y buenas prácticas relacionadas, identificando los caminos del grafo.</w:t>
      </w:r>
    </w:p>
    <w:p>
      <w:pPr>
        <w:pStyle w:val="ListNumber"/>
      </w:pPr>
      <w:r>
        <w:rPr>
          <w:b/>
        </w:rPr>
        <w:t>Consultas SPARQL avanzadas.</w:t>
      </w:r>
      <w:r>
        <w:t xml:space="preserve"> Construir consultas con filtros, agregaciones o propiedades de camino para responder preguntas como qué conceptos concentran más errores o qué prácticas mitigan un error dado.</w:t>
      </w:r>
    </w:p>
    <w:p>
      <w:pPr>
        <w:pStyle w:val="ListNumber"/>
      </w:pPr>
      <w:r>
        <w:rPr>
          <w:b/>
        </w:rPr>
        <w:t>Análisis de la retroalimentación trazable.</w:t>
      </w:r>
      <w:r>
        <w:t xml:space="preserve"> Pedir al sistema una explicación sobre un fragmento de código con un error e identificar qué nodos del grafo sustentan la respuesta, evaluando su pertinencia.</w:t>
      </w:r>
    </w:p>
    <w:p>
      <w:pPr>
        <w:pStyle w:val="ListNumber"/>
      </w:pPr>
      <w:r>
        <w:rPr>
          <w:b/>
        </w:rPr>
        <w:t>Comparación de feedback entre sistemas.</w:t>
      </w:r>
      <w:r>
        <w:t xml:space="preserve"> Contrastar la retroalimentación trazable de EKG-Python con la de un asistente generativo sin grafo, valorando precisión, justificación y utilidad pedagógica de cada uno.</w:t>
      </w:r>
    </w:p>
    <w:p>
      <w:pPr>
        <w:pStyle w:val="Heading1"/>
      </w:pPr>
      <w:r>
        <w:t>5. Requisitos, mantenimiento y consideraciones</w:t>
      </w:r>
    </w:p>
    <w:p>
      <w:r>
        <w:t>Los requisitos de cómputo dependen sobre todo de si se activa el modelo local. La tabla resume dos perfiles de referencia que deberán confirmarse con el servicio de informática:</w:t>
      </w:r>
    </w:p>
    <w:tbl>
      <w:tblPr>
        <w:tblStyle w:val="LightGrid-Accent1"/>
        <w:tblW w:type="auto" w:w="0"/>
        <w:jc w:val="center"/>
        <w:tblLook w:firstColumn="1" w:firstRow="1" w:lastColumn="0" w:lastRow="0" w:noHBand="0" w:noVBand="1" w:val="04A0"/>
      </w:tblPr>
      <w:tblGrid>
        <w:gridCol w:w="2880"/>
        <w:gridCol w:w="2880"/>
        <w:gridCol w:w="2880"/>
      </w:tblGrid>
      <w:tr>
        <w:tc>
          <w:tcPr>
            <w:tcW w:type="dxa" w:w="1701"/>
            <w:shd w:val="clear" w:color="auto" w:fill="1F3B73"/>
          </w:tcPr>
          <w:p>
            <w:pPr>
              <w:spacing w:after="40" w:before="40"/>
            </w:pPr>
            <w:r>
              <w:rPr>
                <w:b/>
                <w:color w:val="FFFFFF"/>
                <w:sz w:val="20"/>
              </w:rPr>
            </w:r>
            <w:r>
              <w:rPr>
                <w:b/>
                <w:color w:val="FFFFFF"/>
                <w:sz w:val="20"/>
              </w:rPr>
              <w:t>Recurso</w:t>
            </w:r>
          </w:p>
        </w:tc>
        <w:tc>
          <w:tcPr>
            <w:tcW w:type="dxa" w:w="3628"/>
            <w:shd w:val="clear" w:color="auto" w:fill="1F3B73"/>
          </w:tcPr>
          <w:p>
            <w:pPr>
              <w:spacing w:after="40" w:before="40"/>
            </w:pPr>
            <w:r>
              <w:rPr>
                <w:b/>
                <w:color w:val="FFFFFF"/>
                <w:sz w:val="20"/>
              </w:rPr>
            </w:r>
            <w:r>
              <w:rPr>
                <w:b/>
                <w:color w:val="FFFFFF"/>
                <w:sz w:val="20"/>
              </w:rPr>
              <w:t>Sin modelo local (básico)</w:t>
            </w:r>
          </w:p>
        </w:tc>
        <w:tc>
          <w:tcPr>
            <w:tcW w:type="dxa" w:w="3628"/>
            <w:shd w:val="clear" w:color="auto" w:fill="1F3B73"/>
          </w:tcPr>
          <w:p>
            <w:pPr>
              <w:spacing w:after="40" w:before="40"/>
            </w:pPr>
            <w:r>
              <w:rPr>
                <w:b/>
                <w:color w:val="FFFFFF"/>
                <w:sz w:val="20"/>
              </w:rPr>
            </w:r>
            <w:r>
              <w:rPr>
                <w:b/>
                <w:color w:val="FFFFFF"/>
                <w:sz w:val="20"/>
              </w:rPr>
              <w:t>Con modelo local (Ollama)</w:t>
            </w:r>
          </w:p>
        </w:tc>
      </w:tr>
      <w:tr>
        <w:tc>
          <w:tcPr>
            <w:tcW w:type="dxa" w:w="1701"/>
          </w:tcPr>
          <w:p>
            <w:pPr>
              <w:spacing w:after="40" w:before="40"/>
            </w:pPr>
            <w:r>
              <w:rPr>
                <w:sz w:val="20"/>
              </w:rPr>
            </w:r>
            <w:r>
              <w:rPr>
                <w:sz w:val="20"/>
              </w:rPr>
              <w:t>CPU</w:t>
            </w:r>
          </w:p>
        </w:tc>
        <w:tc>
          <w:tcPr>
            <w:tcW w:type="dxa" w:w="3628"/>
          </w:tcPr>
          <w:p>
            <w:pPr>
              <w:spacing w:after="40" w:before="40"/>
            </w:pPr>
            <w:r>
              <w:rPr>
                <w:sz w:val="20"/>
              </w:rPr>
            </w:r>
            <w:r>
              <w:rPr>
                <w:sz w:val="20"/>
              </w:rPr>
              <w:t>2–4 núcleos</w:t>
            </w:r>
          </w:p>
        </w:tc>
        <w:tc>
          <w:tcPr>
            <w:tcW w:type="dxa" w:w="3628"/>
          </w:tcPr>
          <w:p>
            <w:pPr>
              <w:spacing w:after="40" w:before="40"/>
            </w:pPr>
            <w:r>
              <w:rPr>
                <w:sz w:val="20"/>
              </w:rPr>
            </w:r>
            <w:r>
              <w:rPr>
                <w:sz w:val="20"/>
              </w:rPr>
              <w:t>4–8 núcleos</w:t>
            </w:r>
          </w:p>
        </w:tc>
      </w:tr>
      <w:tr>
        <w:tc>
          <w:tcPr>
            <w:tcW w:type="dxa" w:w="1701"/>
          </w:tcPr>
          <w:p>
            <w:pPr>
              <w:spacing w:after="40" w:before="40"/>
            </w:pPr>
            <w:r>
              <w:rPr>
                <w:sz w:val="20"/>
              </w:rPr>
            </w:r>
            <w:r>
              <w:rPr>
                <w:sz w:val="20"/>
              </w:rPr>
              <w:t>RAM</w:t>
            </w:r>
          </w:p>
        </w:tc>
        <w:tc>
          <w:tcPr>
            <w:tcW w:type="dxa" w:w="3628"/>
          </w:tcPr>
          <w:p>
            <w:pPr>
              <w:spacing w:after="40" w:before="40"/>
            </w:pPr>
            <w:r>
              <w:rPr>
                <w:sz w:val="20"/>
              </w:rPr>
            </w:r>
            <w:r>
              <w:rPr>
                <w:sz w:val="20"/>
              </w:rPr>
              <w:t>4–8 GB</w:t>
            </w:r>
          </w:p>
        </w:tc>
        <w:tc>
          <w:tcPr>
            <w:tcW w:type="dxa" w:w="3628"/>
          </w:tcPr>
          <w:p>
            <w:pPr>
              <w:spacing w:after="40" w:before="40"/>
            </w:pPr>
            <w:r>
              <w:rPr>
                <w:sz w:val="20"/>
              </w:rPr>
            </w:r>
            <w:r>
              <w:rPr>
                <w:sz w:val="20"/>
              </w:rPr>
              <w:t>16 GB o más</w:t>
            </w:r>
          </w:p>
        </w:tc>
      </w:tr>
      <w:tr>
        <w:tc>
          <w:tcPr>
            <w:tcW w:type="dxa" w:w="1701"/>
          </w:tcPr>
          <w:p>
            <w:pPr>
              <w:spacing w:after="40" w:before="40"/>
            </w:pPr>
            <w:r>
              <w:rPr>
                <w:sz w:val="20"/>
              </w:rPr>
            </w:r>
            <w:r>
              <w:rPr>
                <w:sz w:val="20"/>
              </w:rPr>
              <w:t>Disco</w:t>
            </w:r>
          </w:p>
        </w:tc>
        <w:tc>
          <w:tcPr>
            <w:tcW w:type="dxa" w:w="3628"/>
          </w:tcPr>
          <w:p>
            <w:pPr>
              <w:spacing w:after="40" w:before="40"/>
            </w:pPr>
            <w:r>
              <w:rPr>
                <w:sz w:val="20"/>
              </w:rPr>
            </w:r>
            <w:r>
              <w:rPr>
                <w:sz w:val="20"/>
              </w:rPr>
              <w:t>20–40 GB</w:t>
            </w:r>
          </w:p>
        </w:tc>
        <w:tc>
          <w:tcPr>
            <w:tcW w:type="dxa" w:w="3628"/>
          </w:tcPr>
          <w:p>
            <w:pPr>
              <w:spacing w:after="40" w:before="40"/>
            </w:pPr>
            <w:r>
              <w:rPr>
                <w:sz w:val="20"/>
              </w:rPr>
            </w:r>
            <w:r>
              <w:rPr>
                <w:sz w:val="20"/>
              </w:rPr>
              <w:t>40–80 GB (pesos del modelo)</w:t>
            </w:r>
          </w:p>
        </w:tc>
      </w:tr>
      <w:tr>
        <w:tc>
          <w:tcPr>
            <w:tcW w:type="dxa" w:w="1701"/>
          </w:tcPr>
          <w:p>
            <w:pPr>
              <w:spacing w:after="40" w:before="40"/>
            </w:pPr>
            <w:r>
              <w:rPr>
                <w:sz w:val="20"/>
              </w:rPr>
            </w:r>
            <w:r>
              <w:rPr>
                <w:sz w:val="20"/>
              </w:rPr>
              <w:t>GPU</w:t>
            </w:r>
          </w:p>
        </w:tc>
        <w:tc>
          <w:tcPr>
            <w:tcW w:type="dxa" w:w="3628"/>
          </w:tcPr>
          <w:p>
            <w:pPr>
              <w:spacing w:after="40" w:before="40"/>
            </w:pPr>
            <w:r>
              <w:rPr>
                <w:sz w:val="20"/>
              </w:rPr>
            </w:r>
            <w:r>
              <w:rPr>
                <w:sz w:val="20"/>
              </w:rPr>
              <w:t>No necesaria</w:t>
            </w:r>
          </w:p>
        </w:tc>
        <w:tc>
          <w:tcPr>
            <w:tcW w:type="dxa" w:w="3628"/>
          </w:tcPr>
          <w:p>
            <w:pPr>
              <w:spacing w:after="40" w:before="40"/>
            </w:pPr>
            <w:r>
              <w:rPr>
                <w:sz w:val="20"/>
              </w:rPr>
            </w:r>
            <w:r>
              <w:rPr>
                <w:sz w:val="20"/>
              </w:rPr>
              <w:t>Recomendable (acelera la inferencia)</w:t>
            </w:r>
          </w:p>
        </w:tc>
      </w:tr>
      <w:tr>
        <w:tc>
          <w:tcPr>
            <w:tcW w:type="dxa" w:w="1701"/>
          </w:tcPr>
          <w:p>
            <w:pPr>
              <w:spacing w:after="40" w:before="40"/>
            </w:pPr>
            <w:r>
              <w:rPr>
                <w:sz w:val="20"/>
              </w:rPr>
            </w:r>
            <w:r>
              <w:rPr>
                <w:sz w:val="20"/>
              </w:rPr>
              <w:t>Software</w:t>
            </w:r>
          </w:p>
        </w:tc>
        <w:tc>
          <w:tcPr>
            <w:tcW w:type="dxa" w:w="3628"/>
          </w:tcPr>
          <w:p>
            <w:pPr>
              <w:spacing w:after="40" w:before="40"/>
            </w:pPr>
            <w:r>
              <w:rPr>
                <w:sz w:val="20"/>
              </w:rPr>
            </w:r>
            <w:r>
              <w:rPr>
                <w:sz w:val="20"/>
              </w:rPr>
              <w:t>Java 21+, Python 3, GraphDB</w:t>
            </w:r>
          </w:p>
        </w:tc>
        <w:tc>
          <w:tcPr>
            <w:tcW w:type="dxa" w:w="3628"/>
          </w:tcPr>
          <w:p>
            <w:pPr>
              <w:spacing w:after="40" w:before="40"/>
            </w:pPr>
            <w:r>
              <w:rPr>
                <w:sz w:val="20"/>
              </w:rPr>
            </w:r>
            <w:r>
              <w:rPr>
                <w:sz w:val="20"/>
              </w:rPr>
              <w:t>Lo anterior + Ollama</w:t>
            </w:r>
          </w:p>
        </w:tc>
      </w:tr>
    </w:tbl>
    <w:p>
      <w:pPr>
        <w:spacing w:after="40"/>
      </w:pPr>
    </w:p>
    <w:p>
      <w:pPr>
        <w:pStyle w:val="Heading2"/>
      </w:pPr>
      <w:r>
        <w:t>5.1. Licencias, datos y privacidad</w:t>
      </w:r>
    </w:p>
    <w:p>
      <w:pPr>
        <w:pStyle w:val="ListBullet"/>
      </w:pPr>
      <w:r>
        <w:rPr>
          <w:b/>
        </w:rPr>
        <w:t>Licencias.</w:t>
      </w:r>
      <w:r>
        <w:t xml:space="preserve"> Los componentes de terceros se emplean en ediciones y términos compatibles con el uso académico (GraphDB en su edición Free, FastAPI, Cytoscape.js y Ollama como software de código abierto). Los materiales propios del proyecto —ontología, grafo, sitio y scripts— se entregan con una licencia de uso docente acordada con la dirección del trabajo.</w:t>
      </w:r>
    </w:p>
    <w:p>
      <w:pPr>
        <w:pStyle w:val="ListBullet"/>
      </w:pPr>
      <w:r>
        <w:rPr>
          <w:b/>
        </w:rPr>
        <w:t>Datos.</w:t>
      </w:r>
      <w:r>
        <w:t xml:space="preserve"> El grafo contiene conocimiento de dominio sobre programación (conceptos, errores, buenas prácticas) y no incorpora datos personales del alumnado. Cualquier ejercicio o código que los estudiantes introduzcan se procesa para generar la retroalimentación y no necesita almacenarse.</w:t>
      </w:r>
    </w:p>
    <w:p>
      <w:pPr>
        <w:pStyle w:val="ListBullet"/>
      </w:pPr>
      <w:r>
        <w:rPr>
          <w:b/>
        </w:rPr>
        <w:t>Privacidad.</w:t>
      </w:r>
      <w:r>
        <w:t xml:space="preserve"> Con el modelo local activado mediante Ollama, la inferencia ocurre íntegramente dentro de la infraestructura de la Universidad, sin enviar el código de los estudiantes a servicios externos, lo que favorece el cumplimiento de las políticas de protección de datos. Si en el futuro se registrara actividad del alumnado con fines de mejora, deberá hacerse conforme al RGPD y a la normativa interna de la UNED.</w:t>
      </w:r>
    </w:p>
    <w:p>
      <w:pPr>
        <w:pStyle w:val="Heading2"/>
      </w:pPr>
      <w:r>
        <w:t>5.2. Mantenimiento y operación</w:t>
      </w:r>
    </w:p>
    <w:p>
      <w:pPr>
        <w:pStyle w:val="ListBullet"/>
      </w:pPr>
      <w:r>
        <w:rPr>
          <w:b/>
        </w:rPr>
        <w:t>Copias de seguridad.</w:t>
      </w:r>
      <w:r>
        <w:t xml:space="preserve"> Respaldar periódicamente el fichero .ttl original y, si se han hecho cambios, exportar el repositorio de GraphDB; el grafo es el activo crítico.</w:t>
      </w:r>
    </w:p>
    <w:p>
      <w:pPr>
        <w:pStyle w:val="ListBullet"/>
      </w:pPr>
      <w:r>
        <w:rPr>
          <w:b/>
        </w:rPr>
        <w:t>Actualizaciones.</w:t>
      </w:r>
      <w:r>
        <w:t xml:space="preserve"> Mantener al día el sistema operativo, la versión de GraphDB y las dependencias del sitio; las actualizaciones del modelo en Ollama son opcionales.</w:t>
      </w:r>
    </w:p>
    <w:p>
      <w:pPr>
        <w:pStyle w:val="ListBullet"/>
      </w:pPr>
      <w:r>
        <w:rPr>
          <w:b/>
        </w:rPr>
        <w:t>Supervisión.</w:t>
      </w:r>
      <w:r>
        <w:t xml:space="preserve"> Vigilar la disponibilidad del endpoint SPARQL y del sitio web, y revisar los registros para detectar errores o un uso anómalo.</w:t>
      </w:r>
    </w:p>
    <w:p>
      <w:pPr>
        <w:pStyle w:val="ListBullet"/>
      </w:pPr>
      <w:r>
        <w:rPr>
          <w:b/>
        </w:rPr>
        <w:t>Evolución del grafo.</w:t>
      </w:r>
      <w:r>
        <w:t xml:space="preserve"> La ontología puede ampliarse con nuevos conceptos o errores; el diseño modular permite recargar el .ttl sin afectar al resto de componentes.</w:t>
      </w:r>
    </w:p>
    <w:p>
      <w:pPr>
        <w:pStyle w:val="ListBullet"/>
      </w:pPr>
      <w:r>
        <w:rPr>
          <w:b/>
        </w:rPr>
        <w:t>Coordinación.</w:t>
      </w:r>
      <w:r>
        <w:t xml:space="preserve"> Acordar con el servicio de informática de la UNED las ventanas de mantenimiento, los responsables de cada tarea y el canal de incidencias.</w:t>
      </w:r>
    </w:p>
    <w:p>
      <w:pPr>
        <w:spacing w:before="80" w:after="160"/>
        <w:ind w:left="227" w:right="170"/>
        <w:shd w:val="clear" w:color="auto" w:fill="EEF2FA"/>
        <w:pBdr>
          <w:left w:val="single" w:sz="18" w:space="6" w:color="1F3B73"/>
        </w:pBdr>
      </w:pPr>
      <w:r>
        <w:rPr>
          <w:i/>
          <w:sz w:val="20"/>
        </w:rPr>
        <w:t>El sistema está pensado para una operación liviana: una vez desplegado, el mantenimiento ordinario se reduce a copias de seguridad del grafo, actualizaciones de seguridad y supervisión básica de los dos servicios principales.</w:t>
      </w:r>
    </w:p>
    <w:sectPr w:rsidR="00FC693F" w:rsidRPr="0006063C" w:rsidSect="00034616">
      <w:headerReference w:type="default"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555555"/>
        <w:sz w:val="16"/>
      </w:rPr>
      <w:t>EKG-Python · Instrucciones de aplicación e infraestructura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jc w:val="both"/>
    </w:pPr>
    <w:rPr>
      <w:rFonts w:ascii="Cambria" w:hAnsi="Cambr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mbria" w:hAnsi="Cambria"/>
      <w:b/>
      <w:bCs/>
      <w:color w:val="1F3B73"/>
      <w:sz w:val="32"/>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Cambria" w:hAnsi="Cambria"/>
      <w:b/>
      <w:bCs/>
      <w:color w:val="1F3B73"/>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mbria" w:hAnsi="Cambria"/>
      <w:b/>
      <w:bCs/>
      <w:color w:val="1F3B73"/>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